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76A4" w14:textId="77777777" w:rsidR="00E37626" w:rsidRDefault="00E37626">
      <w:pPr>
        <w:spacing w:after="60"/>
      </w:pPr>
    </w:p>
    <w:p w14:paraId="3EB568A4" w14:textId="77777777" w:rsidR="00E37626" w:rsidRDefault="00E37626">
      <w:pPr>
        <w:spacing w:after="60"/>
      </w:pPr>
    </w:p>
    <w:p w14:paraId="507C271B" w14:textId="77777777" w:rsidR="00E37626" w:rsidRDefault="002E4202">
      <w:pPr>
        <w:spacing w:after="80"/>
        <w:jc w:val="center"/>
      </w:pPr>
      <w:r>
        <w:rPr>
          <w:b/>
          <w:bCs/>
          <w:color w:val="1A3A6B"/>
          <w:sz w:val="32"/>
          <w:szCs w:val="32"/>
        </w:rPr>
        <w:t>ZADARSKA ŽUPANIJA</w:t>
      </w:r>
    </w:p>
    <w:p w14:paraId="45F5143E" w14:textId="7CB8DF3A" w:rsidR="00E37626" w:rsidRDefault="002E4202">
      <w:pPr>
        <w:spacing w:after="80"/>
        <w:jc w:val="center"/>
      </w:pPr>
      <w:r>
        <w:rPr>
          <w:color w:val="444444"/>
          <w:sz w:val="24"/>
          <w:szCs w:val="24"/>
        </w:rPr>
        <w:t xml:space="preserve">Upravni odjel za poljoprivredu, ribarstvo i </w:t>
      </w:r>
      <w:r w:rsidR="002C1896">
        <w:rPr>
          <w:color w:val="444444"/>
          <w:sz w:val="24"/>
          <w:szCs w:val="24"/>
        </w:rPr>
        <w:t>vodno gospodarstvo</w:t>
      </w:r>
    </w:p>
    <w:p w14:paraId="66167BC4" w14:textId="77777777" w:rsidR="00E37626" w:rsidRDefault="00E37626">
      <w:pPr>
        <w:spacing w:after="60"/>
      </w:pPr>
    </w:p>
    <w:p w14:paraId="079707F7" w14:textId="77777777" w:rsidR="00E37626" w:rsidRPr="001A4BC9" w:rsidRDefault="00E37626">
      <w:pPr>
        <w:spacing w:after="60"/>
        <w:rPr>
          <w:b/>
          <w:bCs/>
          <w:color w:val="1A3A6B"/>
          <w:sz w:val="36"/>
          <w:szCs w:val="36"/>
        </w:rPr>
      </w:pPr>
    </w:p>
    <w:p w14:paraId="0D0211F0" w14:textId="77E1B1B9" w:rsidR="00E37626" w:rsidRPr="001A4BC9" w:rsidRDefault="001A4BC9" w:rsidP="001A4BC9">
      <w:pPr>
        <w:spacing w:after="60"/>
        <w:jc w:val="center"/>
        <w:rPr>
          <w:b/>
          <w:bCs/>
          <w:color w:val="1A3A6B"/>
          <w:sz w:val="36"/>
          <w:szCs w:val="36"/>
        </w:rPr>
      </w:pPr>
      <w:r>
        <w:rPr>
          <w:b/>
          <w:bCs/>
          <w:color w:val="1A3A6B"/>
          <w:sz w:val="36"/>
          <w:szCs w:val="36"/>
        </w:rPr>
        <w:t>PROGRAM</w:t>
      </w:r>
    </w:p>
    <w:p w14:paraId="2376D232" w14:textId="5B46F34B" w:rsidR="00E37626" w:rsidRDefault="00DF1685" w:rsidP="001A4BC9">
      <w:pPr>
        <w:spacing w:after="120"/>
        <w:jc w:val="center"/>
      </w:pPr>
      <w:r>
        <w:rPr>
          <w:color w:val="333333"/>
          <w:sz w:val="28"/>
          <w:szCs w:val="28"/>
        </w:rPr>
        <w:t>dodjele sredstava</w:t>
      </w:r>
      <w:r w:rsidR="008A597D">
        <w:rPr>
          <w:color w:val="333333"/>
          <w:sz w:val="28"/>
          <w:szCs w:val="28"/>
        </w:rPr>
        <w:t xml:space="preserve"> jedinicama lokalne samouprave</w:t>
      </w:r>
      <w:r w:rsidR="002E4202">
        <w:rPr>
          <w:color w:val="333333"/>
          <w:sz w:val="28"/>
          <w:szCs w:val="28"/>
        </w:rPr>
        <w:t xml:space="preserve"> za</w:t>
      </w:r>
      <w:r w:rsidR="000210BD">
        <w:rPr>
          <w:color w:val="333333"/>
          <w:sz w:val="28"/>
          <w:szCs w:val="28"/>
        </w:rPr>
        <w:t xml:space="preserve"> provedbu potpora za</w:t>
      </w:r>
    </w:p>
    <w:p w14:paraId="206A8FDF" w14:textId="14682A02" w:rsidR="00E37626" w:rsidRDefault="002E4202" w:rsidP="001A4BC9">
      <w:pPr>
        <w:spacing w:after="120"/>
        <w:jc w:val="center"/>
        <w:rPr>
          <w:b/>
          <w:bCs/>
          <w:color w:val="1A3A6B"/>
          <w:sz w:val="36"/>
          <w:szCs w:val="36"/>
        </w:rPr>
      </w:pPr>
      <w:r>
        <w:rPr>
          <w:b/>
          <w:bCs/>
          <w:color w:val="1A3A6B"/>
          <w:sz w:val="36"/>
          <w:szCs w:val="36"/>
        </w:rPr>
        <w:t>PODIZANJE NASADA VIŠNJE MARA</w:t>
      </w:r>
      <w:r w:rsidR="008D5BC9">
        <w:rPr>
          <w:b/>
          <w:bCs/>
          <w:color w:val="1A3A6B"/>
          <w:sz w:val="36"/>
          <w:szCs w:val="36"/>
        </w:rPr>
        <w:t>Š</w:t>
      </w:r>
      <w:r>
        <w:rPr>
          <w:b/>
          <w:bCs/>
          <w:color w:val="1A3A6B"/>
          <w:sz w:val="36"/>
          <w:szCs w:val="36"/>
        </w:rPr>
        <w:t>KE</w:t>
      </w:r>
    </w:p>
    <w:p w14:paraId="331E3155" w14:textId="77777777" w:rsidR="00E37626" w:rsidRDefault="002E4202" w:rsidP="001A4BC9">
      <w:pPr>
        <w:spacing w:after="80"/>
        <w:jc w:val="center"/>
      </w:pPr>
      <w:r>
        <w:rPr>
          <w:color w:val="555555"/>
          <w:sz w:val="26"/>
          <w:szCs w:val="26"/>
        </w:rPr>
        <w:t>na području Zadarske županije</w:t>
      </w:r>
    </w:p>
    <w:p w14:paraId="2857631F" w14:textId="77777777" w:rsidR="00E37626" w:rsidRDefault="00E37626">
      <w:pPr>
        <w:spacing w:after="60"/>
      </w:pPr>
    </w:p>
    <w:p w14:paraId="3B825C8D" w14:textId="77777777" w:rsidR="00E37626" w:rsidRDefault="00E37626">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E37626" w14:paraId="1F5C4F19" w14:textId="77777777">
        <w:tc>
          <w:tcPr>
            <w:tcW w:w="9026" w:type="dxa"/>
            <w:tcBorders>
              <w:top w:val="single" w:sz="1" w:space="0" w:color="AAAAAA"/>
              <w:left w:val="single" w:sz="1" w:space="0" w:color="AAAAAA"/>
              <w:bottom w:val="single" w:sz="1" w:space="0" w:color="AAAAAA"/>
              <w:right w:val="single" w:sz="1" w:space="0" w:color="AAAAAA"/>
            </w:tcBorders>
            <w:shd w:val="clear" w:color="auto" w:fill="E8F0FB"/>
            <w:tcMar>
              <w:top w:w="200" w:type="dxa"/>
              <w:left w:w="300" w:type="dxa"/>
              <w:bottom w:w="200" w:type="dxa"/>
              <w:right w:w="300" w:type="dxa"/>
            </w:tcMar>
          </w:tcPr>
          <w:p w14:paraId="13256138" w14:textId="26579619" w:rsidR="00E37626" w:rsidRDefault="002E4202">
            <w:pPr>
              <w:spacing w:after="80"/>
              <w:jc w:val="center"/>
            </w:pPr>
            <w:r>
              <w:rPr>
                <w:b/>
                <w:bCs/>
                <w:color w:val="1A3A6B"/>
                <w:sz w:val="24"/>
                <w:szCs w:val="24"/>
              </w:rPr>
              <w:t>Trogodišnji program 202</w:t>
            </w:r>
            <w:r w:rsidR="00B821E3">
              <w:rPr>
                <w:b/>
                <w:bCs/>
                <w:color w:val="1A3A6B"/>
                <w:sz w:val="24"/>
                <w:szCs w:val="24"/>
              </w:rPr>
              <w:t>6</w:t>
            </w:r>
            <w:r>
              <w:rPr>
                <w:b/>
                <w:bCs/>
                <w:color w:val="1A3A6B"/>
                <w:sz w:val="24"/>
                <w:szCs w:val="24"/>
              </w:rPr>
              <w:t>. - 202</w:t>
            </w:r>
            <w:r w:rsidR="00B821E3">
              <w:rPr>
                <w:b/>
                <w:bCs/>
                <w:color w:val="1A3A6B"/>
                <w:sz w:val="24"/>
                <w:szCs w:val="24"/>
              </w:rPr>
              <w:t>8</w:t>
            </w:r>
            <w:r>
              <w:rPr>
                <w:b/>
                <w:bCs/>
                <w:color w:val="1A3A6B"/>
                <w:sz w:val="24"/>
                <w:szCs w:val="24"/>
              </w:rPr>
              <w:t>.</w:t>
            </w:r>
          </w:p>
          <w:p w14:paraId="16C504F8" w14:textId="527B8442" w:rsidR="00E37626" w:rsidRDefault="00E37626">
            <w:pPr>
              <w:spacing w:after="80"/>
              <w:jc w:val="center"/>
            </w:pPr>
          </w:p>
        </w:tc>
      </w:tr>
    </w:tbl>
    <w:p w14:paraId="335343FB" w14:textId="77777777" w:rsidR="00E37626" w:rsidRDefault="00E37626">
      <w:pPr>
        <w:spacing w:after="60"/>
      </w:pPr>
    </w:p>
    <w:p w14:paraId="1C63BC1E" w14:textId="77777777" w:rsidR="00E37626" w:rsidRDefault="00E37626">
      <w:pPr>
        <w:spacing w:after="60"/>
      </w:pPr>
    </w:p>
    <w:p w14:paraId="3008E1B8" w14:textId="77777777" w:rsidR="00E37626" w:rsidRDefault="00E37626">
      <w:pPr>
        <w:spacing w:after="60"/>
      </w:pPr>
    </w:p>
    <w:p w14:paraId="5FC81141" w14:textId="77777777" w:rsidR="00E37626" w:rsidRDefault="00E37626">
      <w:pPr>
        <w:spacing w:after="60"/>
      </w:pPr>
    </w:p>
    <w:p w14:paraId="60117D46" w14:textId="77777777" w:rsidR="00E37626" w:rsidRDefault="002E4202">
      <w:pPr>
        <w:pageBreakBefore/>
      </w:pPr>
      <w:r>
        <w:lastRenderedPageBreak/>
        <w:br/>
      </w:r>
    </w:p>
    <w:p w14:paraId="19FFDC98" w14:textId="1112DA97" w:rsidR="00E37626" w:rsidRDefault="002E4202">
      <w:pPr>
        <w:pStyle w:val="Naslov1"/>
      </w:pPr>
      <w:r>
        <w:t xml:space="preserve">I. PREDMET I SVRHA </w:t>
      </w:r>
      <w:r w:rsidR="002055E6">
        <w:t>PROGRAMA</w:t>
      </w:r>
    </w:p>
    <w:p w14:paraId="07BE77DB" w14:textId="77777777" w:rsidR="00E37626" w:rsidRDefault="00E37626">
      <w:pPr>
        <w:pBdr>
          <w:bottom w:val="single" w:sz="4" w:space="1" w:color="2B5DA6"/>
        </w:pBdr>
        <w:spacing w:before="200" w:after="200"/>
      </w:pPr>
    </w:p>
    <w:p w14:paraId="70C99CA0" w14:textId="38E569A6" w:rsidR="006254AE" w:rsidRPr="006254AE" w:rsidRDefault="006254AE" w:rsidP="006254AE">
      <w:pPr>
        <w:spacing w:after="120" w:line="276" w:lineRule="auto"/>
        <w:jc w:val="both"/>
      </w:pPr>
      <w:r w:rsidRPr="006254AE">
        <w:t>Predmet ovoga Programa je dodjela namjenskih sredstava jedinicama lokalne samouprave s područja Zadarske županije radi provedbe lokalnih javnih poziva za dodjelu potpora poljoprivrednicima za podizanje novih nasada višnje mara</w:t>
      </w:r>
      <w:r>
        <w:t>š</w:t>
      </w:r>
      <w:r w:rsidRPr="006254AE">
        <w:t>ke (</w:t>
      </w:r>
      <w:r w:rsidRPr="006254AE">
        <w:rPr>
          <w:i/>
          <w:iCs/>
        </w:rPr>
        <w:t>Prunus cerasus</w:t>
      </w:r>
      <w:r w:rsidRPr="006254AE">
        <w:t xml:space="preserve"> var. </w:t>
      </w:r>
      <w:r w:rsidRPr="006254AE">
        <w:rPr>
          <w:i/>
          <w:iCs/>
        </w:rPr>
        <w:t>marasca</w:t>
      </w:r>
      <w:r w:rsidRPr="006254AE">
        <w:t>) na poljoprivrednim površinama na području Zadarske županije.</w:t>
      </w:r>
    </w:p>
    <w:p w14:paraId="018AA249" w14:textId="054A4BC6" w:rsidR="006254AE" w:rsidRPr="006254AE" w:rsidRDefault="006254AE" w:rsidP="006254AE">
      <w:pPr>
        <w:spacing w:after="120" w:line="276" w:lineRule="auto"/>
        <w:jc w:val="both"/>
      </w:pPr>
      <w:r w:rsidRPr="006254AE">
        <w:t>Jedinice lokalne samouprave odabrane na Javnom pozivu Zadarske županije korisnici su sredstava ovoga Programa, dok su poljoprivrednici</w:t>
      </w:r>
      <w:r w:rsidR="00C42D8D">
        <w:t>,</w:t>
      </w:r>
      <w:r w:rsidRPr="006254AE">
        <w:t xml:space="preserve"> odabrani </w:t>
      </w:r>
      <w:r w:rsidR="00D74977">
        <w:t xml:space="preserve">od strane JLS </w:t>
      </w:r>
      <w:r w:rsidR="00C42D8D">
        <w:t>putem</w:t>
      </w:r>
      <w:r w:rsidRPr="006254AE">
        <w:t xml:space="preserve"> javni</w:t>
      </w:r>
      <w:r w:rsidR="00C42D8D">
        <w:t>h</w:t>
      </w:r>
      <w:r w:rsidRPr="006254AE">
        <w:t xml:space="preserve"> poziva</w:t>
      </w:r>
      <w:r w:rsidR="00C42D8D">
        <w:t>,</w:t>
      </w:r>
      <w:r w:rsidRPr="006254AE">
        <w:t xml:space="preserve"> krajnji korisnici potpore.</w:t>
      </w:r>
    </w:p>
    <w:p w14:paraId="3E807D3F" w14:textId="5464D1DC" w:rsidR="006254AE" w:rsidRPr="006254AE" w:rsidRDefault="006254AE" w:rsidP="006254AE">
      <w:pPr>
        <w:spacing w:after="120" w:line="276" w:lineRule="auto"/>
        <w:jc w:val="both"/>
      </w:pPr>
      <w:r w:rsidRPr="006254AE">
        <w:t>Višnja mara</w:t>
      </w:r>
      <w:r>
        <w:t>š</w:t>
      </w:r>
      <w:r w:rsidRPr="006254AE">
        <w:t>ka autohtona je i tradicionalno uzgajana sorta koja predstavlja prepoznatljiv simbol Dalmacije te vrijednu kulturu za lokalno gospodarstvo, prehrambenu industriju i turističku prepoznatljivost područja. Svrha Programa je revitalizacija uzgoja višnje mara</w:t>
      </w:r>
      <w:r>
        <w:t>š</w:t>
      </w:r>
      <w:r w:rsidRPr="006254AE">
        <w:t>ke i povećanje proizvodnih površina podizanjem novih nasada.</w:t>
      </w:r>
    </w:p>
    <w:p w14:paraId="6251B29A" w14:textId="694CC4DF" w:rsidR="006254AE" w:rsidRPr="006254AE" w:rsidRDefault="006254AE" w:rsidP="006254AE">
      <w:pPr>
        <w:spacing w:after="120" w:line="276" w:lineRule="auto"/>
        <w:jc w:val="both"/>
      </w:pPr>
      <w:r w:rsidRPr="006254AE">
        <w:t>Cilj Programa je podizanje novih nasada višnje mara</w:t>
      </w:r>
      <w:r>
        <w:t>š</w:t>
      </w:r>
      <w:r w:rsidRPr="006254AE">
        <w:t>ke na ukupnoj površini od približno 50 ha tijekom triju provedbenih ciklusa.</w:t>
      </w:r>
    </w:p>
    <w:p w14:paraId="733DA5A5" w14:textId="77777777" w:rsidR="006254AE" w:rsidRPr="006254AE" w:rsidRDefault="006254AE" w:rsidP="006254AE">
      <w:pPr>
        <w:spacing w:after="120" w:line="276" w:lineRule="auto"/>
        <w:jc w:val="both"/>
      </w:pPr>
      <w:r w:rsidRPr="006254AE">
        <w:t>Program se provodi u tri godišnja ciklusa, 2026., 2027. i 2028. godine, s okvirnim ciljem podizanja 10 ha novih nasada u prvom ciklusu te po 20 ha u drugom i trećem ciklusu. Ostvarenje godišnjih ciljeva ovisi o raspoloživim proračunskim sredstvima, broju uključenih jedinica lokalne samouprave, broju prihvatljivih krajnjih korisnika i raspoloživosti odgovarajućeg sadnog materijala.</w:t>
      </w:r>
    </w:p>
    <w:p w14:paraId="1F0893C5" w14:textId="77777777" w:rsidR="006254AE" w:rsidRPr="006254AE" w:rsidRDefault="006254AE" w:rsidP="006254AE">
      <w:pPr>
        <w:spacing w:after="120" w:line="276" w:lineRule="auto"/>
        <w:jc w:val="both"/>
      </w:pPr>
      <w:r w:rsidRPr="006254AE">
        <w:t>Neostvareni opseg iz pojedinog ciklusa može se, u skladu s raspoloživim proračunskim sredstvima, prenijeti u sljedeći ciklus.</w:t>
      </w:r>
    </w:p>
    <w:p w14:paraId="2719A48A" w14:textId="77777777" w:rsidR="006254AE" w:rsidRPr="006254AE" w:rsidRDefault="006254AE" w:rsidP="006254AE">
      <w:pPr>
        <w:spacing w:after="120" w:line="276" w:lineRule="auto"/>
        <w:jc w:val="both"/>
      </w:pPr>
      <w:r w:rsidRPr="006254AE">
        <w:t>Provedbeni ciklusi odnose se na godine objave Javnog poziva Zadarske županije i odabira jedinica lokalne samouprave. Provedba lokalnih javnih poziva, odabir krajnjih korisnika, provedba ulaganja i isplata potpora mogu se nastaviti nakon isteka godine u kojoj je pojedini županijski Javni poziv objavljen.</w:t>
      </w:r>
    </w:p>
    <w:p w14:paraId="1E81995F" w14:textId="28DA4266" w:rsidR="00E37626" w:rsidRDefault="002E4202">
      <w:pPr>
        <w:pStyle w:val="Naslov1"/>
      </w:pPr>
      <w:r>
        <w:t xml:space="preserve">II. </w:t>
      </w:r>
      <w:r w:rsidR="008875B1">
        <w:t>PRAVNI I STRATEŠKI OKVIR</w:t>
      </w:r>
    </w:p>
    <w:p w14:paraId="6CE592FF" w14:textId="77777777" w:rsidR="00E37626" w:rsidRDefault="00E37626">
      <w:pPr>
        <w:pBdr>
          <w:bottom w:val="single" w:sz="4" w:space="1" w:color="2B5DA6"/>
        </w:pBdr>
        <w:spacing w:before="200" w:after="200"/>
      </w:pPr>
    </w:p>
    <w:p w14:paraId="3E453766" w14:textId="2B764855" w:rsidR="00E37626" w:rsidRDefault="008875B1">
      <w:pPr>
        <w:spacing w:after="120" w:line="276" w:lineRule="auto"/>
        <w:jc w:val="both"/>
      </w:pPr>
      <w:r>
        <w:t>Ovaj Program donosi se i provodi u skladu sa sljedećim propisima, općim aktima i aktima strateškog planiranja</w:t>
      </w:r>
      <w:r w:rsidR="002E4202">
        <w:t>:</w:t>
      </w:r>
    </w:p>
    <w:p w14:paraId="006B1A27" w14:textId="699DBA6D" w:rsidR="00E37626" w:rsidRDefault="002E4202">
      <w:pPr>
        <w:pStyle w:val="Odlomakpopisa"/>
        <w:numPr>
          <w:ilvl w:val="0"/>
          <w:numId w:val="2"/>
        </w:numPr>
        <w:spacing w:after="100" w:line="260" w:lineRule="auto"/>
      </w:pPr>
      <w:r>
        <w:t>Zakon o poljoprivredi (Narodne novine br. 118/18, 42/20, 127/20 i 52/21</w:t>
      </w:r>
      <w:r w:rsidR="00BF0804">
        <w:t>, 152/22, 152/24</w:t>
      </w:r>
      <w:r>
        <w:t>)</w:t>
      </w:r>
    </w:p>
    <w:p w14:paraId="34177B1F" w14:textId="4109637F" w:rsidR="00F336E9" w:rsidRDefault="00F336E9">
      <w:pPr>
        <w:pStyle w:val="Odlomakpopisa"/>
        <w:numPr>
          <w:ilvl w:val="0"/>
          <w:numId w:val="2"/>
        </w:numPr>
        <w:spacing w:after="100" w:line="260" w:lineRule="auto"/>
      </w:pPr>
      <w:r w:rsidRPr="00F336E9">
        <w:t>Uredba Komisije (EU) br. 1408/2013 od 18. prosinca 2013. o primjeni članaka 107. i 108. Ugovora o funkcioniranju Europske unije na de minimis potpore u poljoprivrednom sektoru, kako je posljednji put izmijenjena Uredbom Komisije (EU) 2024/3118</w:t>
      </w:r>
    </w:p>
    <w:p w14:paraId="42771A70" w14:textId="203AE3C5" w:rsidR="00E37626" w:rsidRDefault="002E4202">
      <w:pPr>
        <w:pStyle w:val="Odlomakpopisa"/>
        <w:numPr>
          <w:ilvl w:val="0"/>
          <w:numId w:val="2"/>
        </w:numPr>
        <w:spacing w:after="100" w:line="260" w:lineRule="auto"/>
      </w:pPr>
      <w:r>
        <w:t xml:space="preserve">Zakon o regionalnom razvoju Republike Hrvatske (Narodne novine br. </w:t>
      </w:r>
      <w:r w:rsidR="00463B01">
        <w:t>45/26</w:t>
      </w:r>
      <w:r>
        <w:t>)</w:t>
      </w:r>
    </w:p>
    <w:p w14:paraId="6E3E0563" w14:textId="69FF9814" w:rsidR="00E37626" w:rsidRDefault="002E4202">
      <w:pPr>
        <w:pStyle w:val="Odlomakpopisa"/>
        <w:numPr>
          <w:ilvl w:val="0"/>
          <w:numId w:val="2"/>
        </w:numPr>
        <w:spacing w:after="100" w:line="260" w:lineRule="auto"/>
      </w:pPr>
      <w:r>
        <w:lastRenderedPageBreak/>
        <w:t>Statut Zadarske županije</w:t>
      </w:r>
      <w:r w:rsidR="000D0926">
        <w:t xml:space="preserve"> </w:t>
      </w:r>
      <w:r w:rsidR="000D0926" w:rsidRPr="000D0926">
        <w:t>(„Službeni glasnik Zadarske županije“, br. 10/26)</w:t>
      </w:r>
    </w:p>
    <w:p w14:paraId="5C61AAD6" w14:textId="1EE0AA79" w:rsidR="00E37626" w:rsidRDefault="002E4202">
      <w:pPr>
        <w:pStyle w:val="Odlomakpopisa"/>
        <w:numPr>
          <w:ilvl w:val="0"/>
          <w:numId w:val="2"/>
        </w:numPr>
        <w:spacing w:after="100" w:line="260" w:lineRule="auto"/>
      </w:pPr>
      <w:r>
        <w:t>Proračun Zadarske županije za 202</w:t>
      </w:r>
      <w:r w:rsidR="00B821E3">
        <w:t>7</w:t>
      </w:r>
      <w:r>
        <w:t>. godinu i projekcije za 202</w:t>
      </w:r>
      <w:r w:rsidR="00B821E3">
        <w:t>8</w:t>
      </w:r>
      <w:r>
        <w:t>. i 202</w:t>
      </w:r>
      <w:r w:rsidR="00B821E3">
        <w:t>9</w:t>
      </w:r>
      <w:r>
        <w:t>.</w:t>
      </w:r>
    </w:p>
    <w:p w14:paraId="5CBB7160" w14:textId="26805C01" w:rsidR="00E37626" w:rsidRDefault="002E4202">
      <w:pPr>
        <w:pStyle w:val="Naslov1"/>
      </w:pPr>
      <w:r>
        <w:t xml:space="preserve">III. </w:t>
      </w:r>
      <w:r w:rsidR="0027519D">
        <w:t>PRIHVATLJIVI PRIJAVITELJI I KRAJNJI KORISNICI</w:t>
      </w:r>
    </w:p>
    <w:p w14:paraId="1DF94EE3" w14:textId="77777777" w:rsidR="00E37626" w:rsidRDefault="00E37626">
      <w:pPr>
        <w:pBdr>
          <w:bottom w:val="single" w:sz="4" w:space="1" w:color="2B5DA6"/>
        </w:pBdr>
        <w:spacing w:before="200" w:after="200"/>
      </w:pPr>
    </w:p>
    <w:p w14:paraId="00541A3C" w14:textId="0E40ADDF" w:rsidR="00E37626" w:rsidRDefault="002E4202">
      <w:pPr>
        <w:pStyle w:val="Naslov2"/>
      </w:pPr>
      <w:r>
        <w:t xml:space="preserve">3.1. </w:t>
      </w:r>
      <w:r w:rsidR="009E650E">
        <w:t>Prihvatljivi korisnici</w:t>
      </w:r>
    </w:p>
    <w:p w14:paraId="434FBC8E" w14:textId="121E37BA" w:rsidR="00AE1DB2" w:rsidRPr="00AE1DB2" w:rsidRDefault="00AE1DB2" w:rsidP="00AE1DB2">
      <w:pPr>
        <w:spacing w:after="120" w:line="276" w:lineRule="auto"/>
        <w:jc w:val="both"/>
      </w:pPr>
      <w:r w:rsidRPr="00AE1DB2">
        <w:t xml:space="preserve">Prihvatljivi prijavitelji u okviru ovoga Programa jesu </w:t>
      </w:r>
      <w:r>
        <w:t>jedinice lokalne samouprave</w:t>
      </w:r>
      <w:r w:rsidRPr="00AE1DB2">
        <w:t xml:space="preserve"> s područja Zadarske županije koj</w:t>
      </w:r>
      <w:r w:rsidR="009B6A55">
        <w:t>e</w:t>
      </w:r>
      <w:r w:rsidRPr="00AE1DB2">
        <w:t xml:space="preserve"> ispunjavaju uvjete utvrđene ovim Programom, godišnjim Javnim pozivom i Uputama za prijavitelje.</w:t>
      </w:r>
    </w:p>
    <w:p w14:paraId="268A20C9" w14:textId="14D1190A" w:rsidR="00E37626" w:rsidRDefault="00AE1DB2" w:rsidP="00AE1DB2">
      <w:pPr>
        <w:spacing w:after="120" w:line="276" w:lineRule="auto"/>
        <w:jc w:val="both"/>
      </w:pPr>
      <w:r w:rsidRPr="00AE1DB2">
        <w:t>Jedinica lokalne samouprave kojoj se odobre sredstva stječe status korisnika sredstava Programa.</w:t>
      </w:r>
    </w:p>
    <w:p w14:paraId="1C18750C" w14:textId="77777777" w:rsidR="00E37626" w:rsidRDefault="002E4202">
      <w:pPr>
        <w:pStyle w:val="Naslov2"/>
      </w:pPr>
      <w:r>
        <w:t>3.2. Uvjeti prihvatljivosti prijavitelja</w:t>
      </w:r>
    </w:p>
    <w:p w14:paraId="432EBCE1" w14:textId="1A315CFD" w:rsidR="008D54DC" w:rsidRPr="008D54DC" w:rsidRDefault="008D54DC" w:rsidP="008D54DC">
      <w:pPr>
        <w:spacing w:after="120" w:line="276" w:lineRule="auto"/>
        <w:jc w:val="both"/>
      </w:pPr>
      <w:r w:rsidRPr="008D54DC">
        <w:t>Prijavitelj mora:</w:t>
      </w:r>
    </w:p>
    <w:p w14:paraId="7310CFCA" w14:textId="77777777" w:rsidR="008D54DC" w:rsidRPr="008D54DC" w:rsidRDefault="008D54DC" w:rsidP="008D54DC">
      <w:pPr>
        <w:numPr>
          <w:ilvl w:val="0"/>
          <w:numId w:val="5"/>
        </w:numPr>
        <w:spacing w:after="120" w:line="276" w:lineRule="auto"/>
        <w:jc w:val="both"/>
      </w:pPr>
      <w:r w:rsidRPr="008D54DC">
        <w:t xml:space="preserve">osigurati vlastita sredstva za sufinanciranje aktivnosti u iznosu utvrđenom godišnjim Javnim pozivom; </w:t>
      </w:r>
    </w:p>
    <w:p w14:paraId="6700603B" w14:textId="77777777" w:rsidR="008D54DC" w:rsidRPr="008D54DC" w:rsidRDefault="008D54DC" w:rsidP="008D54DC">
      <w:pPr>
        <w:numPr>
          <w:ilvl w:val="0"/>
          <w:numId w:val="5"/>
        </w:numPr>
        <w:spacing w:after="120" w:line="276" w:lineRule="auto"/>
        <w:jc w:val="both"/>
      </w:pPr>
      <w:r w:rsidRPr="008D54DC">
        <w:t xml:space="preserve">obvezati se provesti lokalni Javni poziv za dodjelu potpora krajnjim korisnicima; </w:t>
      </w:r>
    </w:p>
    <w:p w14:paraId="1478AE59" w14:textId="77777777" w:rsidR="008D54DC" w:rsidRPr="008D54DC" w:rsidRDefault="008D54DC" w:rsidP="008D54DC">
      <w:pPr>
        <w:numPr>
          <w:ilvl w:val="0"/>
          <w:numId w:val="5"/>
        </w:numPr>
        <w:spacing w:after="120" w:line="276" w:lineRule="auto"/>
        <w:jc w:val="both"/>
      </w:pPr>
      <w:r w:rsidRPr="008D54DC">
        <w:t xml:space="preserve">sredstva koristiti isključivo za namjene utvrđene ovim Programom; </w:t>
      </w:r>
    </w:p>
    <w:p w14:paraId="74C549EC" w14:textId="77777777" w:rsidR="008D54DC" w:rsidRPr="008D54DC" w:rsidRDefault="008D54DC" w:rsidP="008D54DC">
      <w:pPr>
        <w:numPr>
          <w:ilvl w:val="0"/>
          <w:numId w:val="5"/>
        </w:numPr>
        <w:spacing w:after="120" w:line="276" w:lineRule="auto"/>
        <w:jc w:val="both"/>
      </w:pPr>
      <w:r w:rsidRPr="008D54DC">
        <w:t xml:space="preserve">osigurati praćenje, kontrolu i izvještavanje o provedbi Programa; </w:t>
      </w:r>
    </w:p>
    <w:p w14:paraId="4FB1C869" w14:textId="77777777" w:rsidR="008D54DC" w:rsidRDefault="008D54DC" w:rsidP="008D54DC">
      <w:pPr>
        <w:numPr>
          <w:ilvl w:val="0"/>
          <w:numId w:val="5"/>
        </w:numPr>
        <w:spacing w:after="120" w:line="276" w:lineRule="auto"/>
        <w:jc w:val="both"/>
      </w:pPr>
      <w:r w:rsidRPr="008D54DC">
        <w:t>ispunjavati ostale uvjete utvrđene godišnjim Javnim pozivom i Uputama za prijavitelje.</w:t>
      </w:r>
    </w:p>
    <w:p w14:paraId="1843F2FE" w14:textId="54F17956" w:rsidR="008D54DC" w:rsidRDefault="008D54DC" w:rsidP="008D54DC">
      <w:pPr>
        <w:pStyle w:val="Naslov2"/>
      </w:pPr>
      <w:r>
        <w:t>3.</w:t>
      </w:r>
      <w:r w:rsidR="000B4C32">
        <w:t>3</w:t>
      </w:r>
      <w:r>
        <w:t xml:space="preserve">. </w:t>
      </w:r>
      <w:r w:rsidR="00EE0B09">
        <w:t>Krajnji korisnici potpore</w:t>
      </w:r>
    </w:p>
    <w:p w14:paraId="1A630D39" w14:textId="54B2D04B" w:rsidR="00E7545F" w:rsidRPr="00E7545F" w:rsidRDefault="00E7545F" w:rsidP="00E7545F">
      <w:pPr>
        <w:spacing w:after="120" w:line="276" w:lineRule="auto"/>
        <w:jc w:val="both"/>
      </w:pPr>
      <w:r w:rsidRPr="00E7545F">
        <w:t>Krajnji korisnici potpore jesu poljoprivrednici koje jedinice lokalne samouprave odaberu na lokalnim javnim pozivima za podizanje novih nasada višnje mara</w:t>
      </w:r>
      <w:r>
        <w:t>š</w:t>
      </w:r>
      <w:r w:rsidRPr="00E7545F">
        <w:t xml:space="preserve">ke na području </w:t>
      </w:r>
      <w:r w:rsidR="00737C3F">
        <w:t>jedinice lokalne samouprave koja provodi lokalni javni poziv.</w:t>
      </w:r>
    </w:p>
    <w:p w14:paraId="1100B1A5" w14:textId="0835557D" w:rsidR="00E7545F" w:rsidRPr="008D54DC" w:rsidRDefault="00E7545F" w:rsidP="008D54DC">
      <w:pPr>
        <w:spacing w:after="120" w:line="276" w:lineRule="auto"/>
        <w:jc w:val="both"/>
      </w:pPr>
      <w:r w:rsidRPr="00E7545F">
        <w:t>Prihvatljive kategorije krajnjih korisnika, uvjeti prihvatljivosti i potrebna dokumentacija pobliže će se utvrditi Uputama za prijavitelje i lokalnim javnim pozivima, u skladu s ovim Programom i pravilima o potporama male vrijednosti u poljoprivrednom sektoru.</w:t>
      </w:r>
    </w:p>
    <w:p w14:paraId="4E267387" w14:textId="77777777" w:rsidR="00E37626" w:rsidRDefault="002E4202">
      <w:pPr>
        <w:pStyle w:val="Naslov1"/>
      </w:pPr>
      <w:r>
        <w:t>IV. UVJETI JAVNOG POZIVA</w:t>
      </w:r>
    </w:p>
    <w:p w14:paraId="342AEA32" w14:textId="77777777" w:rsidR="00E37626" w:rsidRDefault="00E37626">
      <w:pPr>
        <w:pBdr>
          <w:bottom w:val="single" w:sz="4" w:space="1" w:color="2B5DA6"/>
        </w:pBdr>
        <w:spacing w:before="200" w:after="200"/>
      </w:pPr>
    </w:p>
    <w:p w14:paraId="6D674612" w14:textId="77777777" w:rsidR="00E37626" w:rsidRDefault="002E4202">
      <w:pPr>
        <w:pStyle w:val="Naslov2"/>
      </w:pPr>
      <w:r>
        <w:t>4.1. Prihvatljive aktivnosti</w:t>
      </w:r>
    </w:p>
    <w:p w14:paraId="51908AC2" w14:textId="0DA12666" w:rsidR="00D77365" w:rsidRDefault="005265DA" w:rsidP="00972E26">
      <w:pPr>
        <w:pStyle w:val="Naslov2"/>
        <w:jc w:val="both"/>
        <w:rPr>
          <w:b w:val="0"/>
          <w:bCs w:val="0"/>
          <w:color w:val="auto"/>
          <w:sz w:val="22"/>
          <w:szCs w:val="22"/>
        </w:rPr>
      </w:pPr>
      <w:r w:rsidRPr="005265DA">
        <w:rPr>
          <w:b w:val="0"/>
          <w:bCs w:val="0"/>
          <w:color w:val="auto"/>
          <w:sz w:val="22"/>
          <w:szCs w:val="22"/>
        </w:rPr>
        <w:t>Sredstva Programa namijenjena su jedinicama lokalne samouprave za provedbu lokalnih javnih poziva za dodjelu potpora poljoprivrednicima za podizanje novih nasada višnje mara</w:t>
      </w:r>
      <w:r w:rsidR="008D5BC9">
        <w:rPr>
          <w:b w:val="0"/>
          <w:bCs w:val="0"/>
          <w:color w:val="auto"/>
          <w:sz w:val="22"/>
          <w:szCs w:val="22"/>
        </w:rPr>
        <w:t>š</w:t>
      </w:r>
      <w:r w:rsidRPr="005265DA">
        <w:rPr>
          <w:b w:val="0"/>
          <w:bCs w:val="0"/>
          <w:color w:val="auto"/>
          <w:sz w:val="22"/>
          <w:szCs w:val="22"/>
        </w:rPr>
        <w:t>ke na području Zadarske županije.</w:t>
      </w:r>
    </w:p>
    <w:p w14:paraId="46745246" w14:textId="606BE10A" w:rsidR="00205932" w:rsidRPr="00205932" w:rsidRDefault="00205932" w:rsidP="00972E26">
      <w:pPr>
        <w:pStyle w:val="Naslov2"/>
        <w:jc w:val="both"/>
        <w:rPr>
          <w:b w:val="0"/>
          <w:bCs w:val="0"/>
          <w:color w:val="auto"/>
          <w:sz w:val="22"/>
          <w:szCs w:val="22"/>
        </w:rPr>
      </w:pPr>
      <w:r w:rsidRPr="00205932">
        <w:rPr>
          <w:b w:val="0"/>
          <w:bCs w:val="0"/>
          <w:color w:val="auto"/>
          <w:sz w:val="22"/>
          <w:szCs w:val="22"/>
        </w:rPr>
        <w:t>Prihvatljive aktivnosti</w:t>
      </w:r>
      <w:r w:rsidR="005265DA">
        <w:rPr>
          <w:b w:val="0"/>
          <w:bCs w:val="0"/>
          <w:color w:val="auto"/>
          <w:sz w:val="22"/>
          <w:szCs w:val="22"/>
        </w:rPr>
        <w:t xml:space="preserve"> krajnjih korisnika</w:t>
      </w:r>
      <w:r w:rsidRPr="00205932">
        <w:rPr>
          <w:b w:val="0"/>
          <w:bCs w:val="0"/>
          <w:color w:val="auto"/>
          <w:sz w:val="22"/>
          <w:szCs w:val="22"/>
        </w:rPr>
        <w:t xml:space="preserve"> </w:t>
      </w:r>
      <w:r w:rsidR="00696079">
        <w:rPr>
          <w:b w:val="0"/>
          <w:bCs w:val="0"/>
          <w:color w:val="auto"/>
          <w:sz w:val="22"/>
          <w:szCs w:val="22"/>
        </w:rPr>
        <w:t>mogu obuhvaćati:</w:t>
      </w:r>
    </w:p>
    <w:p w14:paraId="47579CE3" w14:textId="77777777"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t>pripremu i uređenje zemljišta, uključujući čišćenje i krčenje površine, analizu tla, odgovarajuću duboku obradu tla te osnovnu odnosno meliorativnu gnojidbu;</w:t>
      </w:r>
    </w:p>
    <w:p w14:paraId="074A9587" w14:textId="24200B5F"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lastRenderedPageBreak/>
        <w:t>nabavu odgovarajućeg sadnog materijala višnje mara</w:t>
      </w:r>
      <w:r w:rsidR="008D5BC9">
        <w:rPr>
          <w:b w:val="0"/>
          <w:bCs w:val="0"/>
          <w:color w:val="auto"/>
          <w:sz w:val="22"/>
          <w:szCs w:val="22"/>
        </w:rPr>
        <w:t>š</w:t>
      </w:r>
      <w:r w:rsidRPr="00205932">
        <w:rPr>
          <w:b w:val="0"/>
          <w:bCs w:val="0"/>
          <w:color w:val="auto"/>
          <w:sz w:val="22"/>
          <w:szCs w:val="22"/>
        </w:rPr>
        <w:t>ke;</w:t>
      </w:r>
    </w:p>
    <w:p w14:paraId="53570DDF" w14:textId="77777777"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t>pripremu sadnih mjesta i sadnju sadnica;</w:t>
      </w:r>
    </w:p>
    <w:p w14:paraId="4DBBF5D5" w14:textId="77777777"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t>postavljanje kolaca, veziva, zaštitnih elemenata i druge opreme potrebne za pravilan razvoj sadnica;</w:t>
      </w:r>
    </w:p>
    <w:p w14:paraId="3ED2D3B5" w14:textId="77777777"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t>nabavu i postavljanje sustava navodnjavanja;</w:t>
      </w:r>
    </w:p>
    <w:p w14:paraId="39108CBD" w14:textId="77777777" w:rsidR="00205932" w:rsidRPr="00205932" w:rsidRDefault="00205932" w:rsidP="00B821E3">
      <w:pPr>
        <w:pStyle w:val="Naslov2"/>
        <w:numPr>
          <w:ilvl w:val="0"/>
          <w:numId w:val="4"/>
        </w:numPr>
        <w:rPr>
          <w:b w:val="0"/>
          <w:bCs w:val="0"/>
          <w:color w:val="auto"/>
          <w:sz w:val="22"/>
          <w:szCs w:val="22"/>
        </w:rPr>
      </w:pPr>
      <w:r w:rsidRPr="00205932">
        <w:rPr>
          <w:b w:val="0"/>
          <w:bCs w:val="0"/>
          <w:color w:val="auto"/>
          <w:sz w:val="22"/>
          <w:szCs w:val="22"/>
        </w:rPr>
        <w:t>druge stručno opravdane radnje potrebne za podizanje i stavljanje nasada u funkciju.</w:t>
      </w:r>
    </w:p>
    <w:p w14:paraId="7B57FFD8" w14:textId="3DA5DA6B" w:rsidR="007D6C5B" w:rsidRDefault="008A3A34" w:rsidP="008A3A34">
      <w:pPr>
        <w:spacing w:after="100" w:line="260" w:lineRule="auto"/>
        <w:jc w:val="both"/>
      </w:pPr>
      <w:r w:rsidRPr="008A3A34">
        <w:t>Točan opseg prihvatljivih aktivnosti i troškova utvrdit će se godišnjim Javnim pozivom Zadarske županije, Uputama za prijavitelje i lokalnim javnim pozivima jedinica lokalne samouprave.</w:t>
      </w:r>
    </w:p>
    <w:p w14:paraId="08CD70FC" w14:textId="77777777" w:rsidR="00E37626" w:rsidRDefault="002E4202">
      <w:pPr>
        <w:pStyle w:val="Naslov2"/>
      </w:pPr>
      <w:r>
        <w:t>4.2. Iznosi i opseg potpore</w:t>
      </w:r>
    </w:p>
    <w:p w14:paraId="6586696B" w14:textId="77777777" w:rsidR="008E1BB5" w:rsidRDefault="008E1BB5">
      <w:pPr>
        <w:spacing w:after="120" w:line="276" w:lineRule="auto"/>
        <w:jc w:val="both"/>
      </w:pPr>
      <w:r w:rsidRPr="008E1BB5">
        <w:t xml:space="preserve">Sredstva Zadarske županije dodjeljuju se jedinicama lokalne samouprave za financiranje potpora krajnjim korisnicima u okviru lokalnih javnih poziva. </w:t>
      </w:r>
    </w:p>
    <w:p w14:paraId="4C742872" w14:textId="62760ABA" w:rsidR="00E37626" w:rsidRDefault="008E1BB5">
      <w:pPr>
        <w:spacing w:after="120" w:line="276" w:lineRule="auto"/>
        <w:jc w:val="both"/>
      </w:pPr>
      <w:r w:rsidRPr="008E1BB5">
        <w:t>Okvirni iznosi potpore po krajnjem korisniku iznose: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800"/>
        <w:gridCol w:w="1800"/>
        <w:gridCol w:w="2960"/>
      </w:tblGrid>
      <w:tr w:rsidR="008617CC" w14:paraId="0AAAB0A7" w14:textId="77777777" w:rsidTr="00FE6F8F">
        <w:trPr>
          <w:tblHeader/>
        </w:trPr>
        <w:tc>
          <w:tcPr>
            <w:tcW w:w="2800" w:type="dxa"/>
            <w:tcBorders>
              <w:top w:val="single" w:sz="4" w:space="0" w:color="2E75B6"/>
              <w:left w:val="single" w:sz="4" w:space="0" w:color="2E75B6"/>
              <w:bottom w:val="single" w:sz="4" w:space="0" w:color="2E75B6"/>
              <w:right w:val="single" w:sz="4" w:space="0" w:color="2E75B6"/>
            </w:tcBorders>
            <w:shd w:val="clear" w:color="auto" w:fill="1F4E79"/>
            <w:tcMar>
              <w:top w:w="100" w:type="dxa"/>
              <w:left w:w="140" w:type="dxa"/>
              <w:bottom w:w="100" w:type="dxa"/>
              <w:right w:w="140" w:type="dxa"/>
            </w:tcMar>
            <w:vAlign w:val="center"/>
          </w:tcPr>
          <w:p w14:paraId="7C8E697C" w14:textId="77777777" w:rsidR="008617CC" w:rsidRDefault="008617CC" w:rsidP="00FE6F8F">
            <w:r>
              <w:rPr>
                <w:b/>
                <w:bCs/>
                <w:color w:val="FFFFFF"/>
                <w:sz w:val="20"/>
                <w:szCs w:val="20"/>
              </w:rPr>
              <w:t>Osnova</w:t>
            </w:r>
          </w:p>
        </w:tc>
        <w:tc>
          <w:tcPr>
            <w:tcW w:w="1800" w:type="dxa"/>
            <w:tcBorders>
              <w:top w:val="single" w:sz="4" w:space="0" w:color="2E75B6"/>
              <w:left w:val="single" w:sz="4" w:space="0" w:color="2E75B6"/>
              <w:bottom w:val="single" w:sz="4" w:space="0" w:color="2E75B6"/>
              <w:right w:val="single" w:sz="4" w:space="0" w:color="2E75B6"/>
            </w:tcBorders>
            <w:shd w:val="clear" w:color="auto" w:fill="1F4E79"/>
            <w:tcMar>
              <w:top w:w="100" w:type="dxa"/>
              <w:left w:w="140" w:type="dxa"/>
              <w:bottom w:w="100" w:type="dxa"/>
              <w:right w:w="140" w:type="dxa"/>
            </w:tcMar>
            <w:vAlign w:val="center"/>
          </w:tcPr>
          <w:p w14:paraId="7E71A591" w14:textId="77777777" w:rsidR="008617CC" w:rsidRDefault="008617CC" w:rsidP="00FE6F8F">
            <w:r>
              <w:rPr>
                <w:b/>
                <w:bCs/>
                <w:color w:val="FFFFFF"/>
                <w:sz w:val="20"/>
                <w:szCs w:val="20"/>
              </w:rPr>
              <w:t>Iznos potpore</w:t>
            </w:r>
          </w:p>
        </w:tc>
        <w:tc>
          <w:tcPr>
            <w:tcW w:w="1800" w:type="dxa"/>
            <w:tcBorders>
              <w:top w:val="single" w:sz="4" w:space="0" w:color="2E75B6"/>
              <w:left w:val="single" w:sz="4" w:space="0" w:color="2E75B6"/>
              <w:bottom w:val="single" w:sz="4" w:space="0" w:color="2E75B6"/>
              <w:right w:val="single" w:sz="4" w:space="0" w:color="2E75B6"/>
            </w:tcBorders>
            <w:shd w:val="clear" w:color="auto" w:fill="1F4E79"/>
            <w:tcMar>
              <w:top w:w="100" w:type="dxa"/>
              <w:left w:w="140" w:type="dxa"/>
              <w:bottom w:w="100" w:type="dxa"/>
              <w:right w:w="140" w:type="dxa"/>
            </w:tcMar>
            <w:vAlign w:val="center"/>
          </w:tcPr>
          <w:p w14:paraId="68E99EB0" w14:textId="1FDF4EA3" w:rsidR="008617CC" w:rsidRDefault="008617CC" w:rsidP="00FE6F8F">
            <w:r>
              <w:rPr>
                <w:b/>
                <w:bCs/>
                <w:color w:val="FFFFFF"/>
                <w:sz w:val="20"/>
                <w:szCs w:val="20"/>
              </w:rPr>
              <w:t>Financiranje</w:t>
            </w:r>
          </w:p>
        </w:tc>
        <w:tc>
          <w:tcPr>
            <w:tcW w:w="2960" w:type="dxa"/>
            <w:tcBorders>
              <w:top w:val="single" w:sz="4" w:space="0" w:color="2E75B6"/>
              <w:left w:val="single" w:sz="4" w:space="0" w:color="2E75B6"/>
              <w:bottom w:val="single" w:sz="4" w:space="0" w:color="2E75B6"/>
              <w:right w:val="single" w:sz="4" w:space="0" w:color="2E75B6"/>
            </w:tcBorders>
            <w:shd w:val="clear" w:color="auto" w:fill="1F4E79"/>
            <w:tcMar>
              <w:top w:w="100" w:type="dxa"/>
              <w:left w:w="140" w:type="dxa"/>
              <w:bottom w:w="100" w:type="dxa"/>
              <w:right w:w="140" w:type="dxa"/>
            </w:tcMar>
            <w:vAlign w:val="center"/>
          </w:tcPr>
          <w:p w14:paraId="6579BF3F" w14:textId="77777777" w:rsidR="008617CC" w:rsidRDefault="008617CC" w:rsidP="00FE6F8F">
            <w:r>
              <w:rPr>
                <w:b/>
                <w:bCs/>
                <w:color w:val="FFFFFF"/>
                <w:sz w:val="20"/>
                <w:szCs w:val="20"/>
              </w:rPr>
              <w:t>Napomena</w:t>
            </w:r>
          </w:p>
        </w:tc>
      </w:tr>
      <w:tr w:rsidR="008617CC" w14:paraId="6AF3938D"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5147A533" w14:textId="77777777" w:rsidR="008617CC" w:rsidRDefault="008617CC" w:rsidP="00FE6F8F">
            <w:r>
              <w:rPr>
                <w:sz w:val="20"/>
                <w:szCs w:val="20"/>
              </w:rPr>
              <w:t>Po stablu (sadnice)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449967A6" w14:textId="77777777" w:rsidR="008617CC" w:rsidRDefault="008617CC" w:rsidP="00FE6F8F">
            <w:pPr>
              <w:jc w:val="right"/>
            </w:pPr>
            <w:r>
              <w:rPr>
                <w:sz w:val="20"/>
                <w:szCs w:val="20"/>
              </w:rPr>
              <w:t>do 5 EUR/stablu</w:t>
            </w:r>
          </w:p>
        </w:tc>
        <w:tc>
          <w:tcPr>
            <w:tcW w:w="1800" w:type="dxa"/>
            <w:tcBorders>
              <w:top w:val="single" w:sz="1" w:space="0" w:color="AAAAAA"/>
              <w:left w:val="single" w:sz="1" w:space="0" w:color="AAAAAA"/>
              <w:bottom w:val="single" w:sz="1" w:space="0" w:color="AAAAAA"/>
              <w:right w:val="single" w:sz="1" w:space="0" w:color="AAAAAA"/>
            </w:tcBorders>
            <w:shd w:val="clear" w:color="auto" w:fill="E2EFDA"/>
            <w:tcMar>
              <w:top w:w="100" w:type="dxa"/>
              <w:left w:w="140" w:type="dxa"/>
              <w:bottom w:w="100" w:type="dxa"/>
              <w:right w:w="140" w:type="dxa"/>
            </w:tcMar>
            <w:vAlign w:val="center"/>
          </w:tcPr>
          <w:p w14:paraId="4C2A2824" w14:textId="77777777" w:rsidR="008617CC" w:rsidRDefault="008617CC" w:rsidP="00FE6F8F">
            <w:pPr>
              <w:jc w:val="center"/>
            </w:pPr>
            <w:r>
              <w:rPr>
                <w:b/>
                <w:bCs/>
                <w:sz w:val="20"/>
                <w:szCs w:val="20"/>
              </w:rPr>
              <w:t>Županija</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0852C8F2" w14:textId="77777777" w:rsidR="008617CC" w:rsidRDefault="008617CC" w:rsidP="00FE6F8F">
            <w:r>
              <w:rPr>
                <w:sz w:val="20"/>
                <w:szCs w:val="20"/>
              </w:rPr>
              <w:t>Gustoća 500–600 stabala/ha</w:t>
            </w:r>
          </w:p>
        </w:tc>
      </w:tr>
      <w:tr w:rsidR="008617CC" w14:paraId="54D4691B"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1D706570" w14:textId="77777777" w:rsidR="008617CC" w:rsidRDefault="008617CC" w:rsidP="00FE6F8F">
            <w:r>
              <w:rPr>
                <w:sz w:val="20"/>
                <w:szCs w:val="20"/>
              </w:rPr>
              <w:t>Navodnjavanje (po ha)</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7BF02BA9" w14:textId="77777777" w:rsidR="008617CC" w:rsidRDefault="008617CC" w:rsidP="00FE6F8F">
            <w:pPr>
              <w:jc w:val="right"/>
            </w:pPr>
            <w:r>
              <w:rPr>
                <w:sz w:val="20"/>
                <w:szCs w:val="20"/>
              </w:rPr>
              <w:t>do 2.000 EUR/ha</w:t>
            </w:r>
          </w:p>
        </w:tc>
        <w:tc>
          <w:tcPr>
            <w:tcW w:w="1800" w:type="dxa"/>
            <w:tcBorders>
              <w:top w:val="single" w:sz="1" w:space="0" w:color="AAAAAA"/>
              <w:left w:val="single" w:sz="1" w:space="0" w:color="AAAAAA"/>
              <w:bottom w:val="single" w:sz="1" w:space="0" w:color="AAAAAA"/>
              <w:right w:val="single" w:sz="1" w:space="0" w:color="AAAAAA"/>
            </w:tcBorders>
            <w:shd w:val="clear" w:color="auto" w:fill="E2EFDA"/>
            <w:tcMar>
              <w:top w:w="100" w:type="dxa"/>
              <w:left w:w="140" w:type="dxa"/>
              <w:bottom w:w="100" w:type="dxa"/>
              <w:right w:w="140" w:type="dxa"/>
            </w:tcMar>
            <w:vAlign w:val="center"/>
          </w:tcPr>
          <w:p w14:paraId="47C7F884" w14:textId="77777777" w:rsidR="008617CC" w:rsidRDefault="008617CC" w:rsidP="00FE6F8F">
            <w:pPr>
              <w:jc w:val="center"/>
            </w:pPr>
            <w:r>
              <w:rPr>
                <w:b/>
                <w:bCs/>
                <w:sz w:val="20"/>
                <w:szCs w:val="20"/>
              </w:rPr>
              <w:t>Županija</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5D95BF2F" w14:textId="7D610137" w:rsidR="008617CC" w:rsidRDefault="00E616CD" w:rsidP="00FE6F8F">
            <w:r>
              <w:rPr>
                <w:sz w:val="20"/>
                <w:szCs w:val="20"/>
              </w:rPr>
              <w:t>Max 3 ha</w:t>
            </w:r>
          </w:p>
        </w:tc>
      </w:tr>
      <w:tr w:rsidR="00294F29" w14:paraId="30EE9654"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2B85F6B8" w14:textId="7E3427E6" w:rsidR="00294F29" w:rsidRDefault="00294F29" w:rsidP="00FE6F8F">
            <w:pPr>
              <w:rPr>
                <w:sz w:val="20"/>
                <w:szCs w:val="20"/>
              </w:rPr>
            </w:pPr>
            <w:r>
              <w:rPr>
                <w:sz w:val="20"/>
                <w:szCs w:val="20"/>
              </w:rPr>
              <w:t>Analiza tla (po ha)</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4D56B7F3" w14:textId="4ECB90D3" w:rsidR="00294F29" w:rsidRDefault="00294F29" w:rsidP="00FE6F8F">
            <w:pPr>
              <w:jc w:val="right"/>
              <w:rPr>
                <w:sz w:val="20"/>
                <w:szCs w:val="20"/>
              </w:rPr>
            </w:pPr>
            <w:r>
              <w:rPr>
                <w:sz w:val="20"/>
                <w:szCs w:val="20"/>
              </w:rPr>
              <w:t>do 400 EUR/ha</w:t>
            </w:r>
          </w:p>
        </w:tc>
        <w:tc>
          <w:tcPr>
            <w:tcW w:w="1800" w:type="dxa"/>
            <w:tcBorders>
              <w:top w:val="single" w:sz="1" w:space="0" w:color="AAAAAA"/>
              <w:left w:val="single" w:sz="1" w:space="0" w:color="AAAAAA"/>
              <w:bottom w:val="single" w:sz="1" w:space="0" w:color="AAAAAA"/>
              <w:right w:val="single" w:sz="1" w:space="0" w:color="AAAAAA"/>
            </w:tcBorders>
            <w:shd w:val="clear" w:color="auto" w:fill="E2EFDA"/>
            <w:tcMar>
              <w:top w:w="100" w:type="dxa"/>
              <w:left w:w="140" w:type="dxa"/>
              <w:bottom w:w="100" w:type="dxa"/>
              <w:right w:w="140" w:type="dxa"/>
            </w:tcMar>
            <w:vAlign w:val="center"/>
          </w:tcPr>
          <w:p w14:paraId="12DBCD95" w14:textId="5C7B371B" w:rsidR="00294F29" w:rsidRDefault="00294F29" w:rsidP="00FE6F8F">
            <w:pPr>
              <w:jc w:val="center"/>
              <w:rPr>
                <w:b/>
                <w:bCs/>
                <w:sz w:val="20"/>
                <w:szCs w:val="20"/>
              </w:rPr>
            </w:pPr>
            <w:r>
              <w:rPr>
                <w:b/>
                <w:bCs/>
                <w:sz w:val="20"/>
                <w:szCs w:val="20"/>
              </w:rPr>
              <w:t>Županija</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156A7A9D" w14:textId="4B0286DE" w:rsidR="00294F29" w:rsidRDefault="000E7879" w:rsidP="00FE6F8F">
            <w:pPr>
              <w:rPr>
                <w:sz w:val="20"/>
                <w:szCs w:val="20"/>
              </w:rPr>
            </w:pPr>
            <w:r>
              <w:rPr>
                <w:sz w:val="20"/>
                <w:szCs w:val="20"/>
              </w:rPr>
              <w:t>Max 3 ha</w:t>
            </w:r>
          </w:p>
        </w:tc>
      </w:tr>
      <w:tr w:rsidR="008617CC" w14:paraId="5EB42830"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73D11463" w14:textId="77777777" w:rsidR="008617CC" w:rsidRDefault="008617CC" w:rsidP="00FE6F8F">
            <w:r>
              <w:rPr>
                <w:sz w:val="20"/>
                <w:szCs w:val="20"/>
              </w:rPr>
              <w:t>Priprema tla (po ha)</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3708032A" w14:textId="77777777" w:rsidR="008617CC" w:rsidRDefault="008617CC" w:rsidP="00FE6F8F">
            <w:pPr>
              <w:jc w:val="right"/>
            </w:pPr>
            <w:r>
              <w:rPr>
                <w:sz w:val="20"/>
                <w:szCs w:val="20"/>
              </w:rPr>
              <w:t>do 1.000 EUR/ha</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40" w:type="dxa"/>
              <w:bottom w:w="100" w:type="dxa"/>
              <w:right w:w="140" w:type="dxa"/>
            </w:tcMar>
            <w:vAlign w:val="center"/>
          </w:tcPr>
          <w:p w14:paraId="496E3CFF" w14:textId="77777777" w:rsidR="008617CC" w:rsidRDefault="008617CC" w:rsidP="00FE6F8F">
            <w:pPr>
              <w:jc w:val="center"/>
            </w:pPr>
            <w:r>
              <w:rPr>
                <w:b/>
                <w:bCs/>
                <w:sz w:val="20"/>
                <w:szCs w:val="20"/>
              </w:rPr>
              <w:t>JLS</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100" w:type="dxa"/>
              <w:left w:w="140" w:type="dxa"/>
              <w:bottom w:w="100" w:type="dxa"/>
              <w:right w:w="140" w:type="dxa"/>
            </w:tcMar>
            <w:vAlign w:val="center"/>
          </w:tcPr>
          <w:p w14:paraId="2526DB34" w14:textId="2BDC49A8" w:rsidR="008617CC" w:rsidRDefault="00ED2389" w:rsidP="00FE6F8F">
            <w:r>
              <w:rPr>
                <w:sz w:val="20"/>
                <w:szCs w:val="20"/>
              </w:rPr>
              <w:t>Priprema tla za sadnju, osnovna ili meliorativna gnojidba</w:t>
            </w:r>
          </w:p>
        </w:tc>
      </w:tr>
      <w:tr w:rsidR="008617CC" w14:paraId="76C2ED88"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4076B286" w14:textId="53B2F838" w:rsidR="008617CC" w:rsidRDefault="008617CC" w:rsidP="00FE6F8F">
            <w:r>
              <w:rPr>
                <w:sz w:val="20"/>
                <w:szCs w:val="20"/>
              </w:rPr>
              <w:t>Minimalna prijava za stabla</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24AB868A" w14:textId="16E74746" w:rsidR="008617CC" w:rsidRDefault="008617CC" w:rsidP="00FE6F8F">
            <w:pPr>
              <w:jc w:val="right"/>
            </w:pPr>
            <w:r>
              <w:rPr>
                <w:sz w:val="20"/>
                <w:szCs w:val="20"/>
              </w:rPr>
              <w:t>min. ~1.250 EUR</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63551706" w14:textId="77777777" w:rsidR="008617CC" w:rsidRDefault="008617CC" w:rsidP="00FE6F8F">
            <w:pPr>
              <w:jc w:val="center"/>
            </w:pPr>
            <w:r>
              <w:rPr>
                <w:sz w:val="20"/>
                <w:szCs w:val="20"/>
              </w:rPr>
              <w:t>—</w:t>
            </w:r>
          </w:p>
        </w:tc>
        <w:tc>
          <w:tcPr>
            <w:tcW w:w="296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5261388A" w14:textId="77777777" w:rsidR="008617CC" w:rsidRDefault="008617CC" w:rsidP="00FE6F8F">
            <w:r>
              <w:rPr>
                <w:sz w:val="20"/>
                <w:szCs w:val="20"/>
              </w:rPr>
              <w:t>250 stabala / 5.000 m²</w:t>
            </w:r>
          </w:p>
        </w:tc>
      </w:tr>
      <w:tr w:rsidR="008617CC" w14:paraId="1417C8CC" w14:textId="77777777" w:rsidTr="00FE6F8F">
        <w:tc>
          <w:tcPr>
            <w:tcW w:w="2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2F1F6DB9" w14:textId="1DB69A20" w:rsidR="008617CC" w:rsidRDefault="008617CC" w:rsidP="00FE6F8F">
            <w:r>
              <w:rPr>
                <w:sz w:val="20"/>
                <w:szCs w:val="20"/>
              </w:rPr>
              <w:t>Maksimalna prijava za stabla</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63C11AA9" w14:textId="5693E538" w:rsidR="008617CC" w:rsidRDefault="008617CC" w:rsidP="00FE6F8F">
            <w:pPr>
              <w:jc w:val="right"/>
            </w:pPr>
            <w:r>
              <w:rPr>
                <w:sz w:val="20"/>
                <w:szCs w:val="20"/>
              </w:rPr>
              <w:t xml:space="preserve">max. </w:t>
            </w:r>
            <w:r w:rsidR="00131C38">
              <w:rPr>
                <w:sz w:val="20"/>
                <w:szCs w:val="20"/>
              </w:rPr>
              <w:t>8.250,00</w:t>
            </w:r>
            <w:r>
              <w:rPr>
                <w:sz w:val="20"/>
                <w:szCs w:val="20"/>
              </w:rPr>
              <w:t xml:space="preserve"> EUR</w:t>
            </w:r>
          </w:p>
        </w:tc>
        <w:tc>
          <w:tcPr>
            <w:tcW w:w="180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0228B80A" w14:textId="77777777" w:rsidR="008617CC" w:rsidRDefault="008617CC" w:rsidP="00FE6F8F">
            <w:pPr>
              <w:jc w:val="center"/>
            </w:pPr>
            <w:r>
              <w:rPr>
                <w:sz w:val="20"/>
                <w:szCs w:val="20"/>
              </w:rPr>
              <w:t>—</w:t>
            </w:r>
          </w:p>
        </w:tc>
        <w:tc>
          <w:tcPr>
            <w:tcW w:w="2960" w:type="dxa"/>
            <w:tcBorders>
              <w:top w:val="single" w:sz="1" w:space="0" w:color="AAAAAA"/>
              <w:left w:val="single" w:sz="1" w:space="0" w:color="AAAAAA"/>
              <w:bottom w:val="single" w:sz="1" w:space="0" w:color="AAAAAA"/>
              <w:right w:val="single" w:sz="1" w:space="0" w:color="AAAAAA"/>
            </w:tcBorders>
            <w:shd w:val="clear" w:color="auto" w:fill="F5F5F5"/>
            <w:tcMar>
              <w:top w:w="100" w:type="dxa"/>
              <w:left w:w="140" w:type="dxa"/>
              <w:bottom w:w="100" w:type="dxa"/>
              <w:right w:w="140" w:type="dxa"/>
            </w:tcMar>
            <w:vAlign w:val="center"/>
          </w:tcPr>
          <w:p w14:paraId="6F2907A9" w14:textId="77777777" w:rsidR="008617CC" w:rsidRDefault="008617CC" w:rsidP="00FE6F8F">
            <w:r>
              <w:rPr>
                <w:sz w:val="20"/>
                <w:szCs w:val="20"/>
              </w:rPr>
              <w:t>3 ha po prijavitelju</w:t>
            </w:r>
          </w:p>
        </w:tc>
      </w:tr>
    </w:tbl>
    <w:p w14:paraId="34D3ECD3" w14:textId="5FA35A88" w:rsidR="00E37626" w:rsidRDefault="00E37626">
      <w:pPr>
        <w:spacing w:after="60"/>
      </w:pPr>
    </w:p>
    <w:p w14:paraId="18D4EF7F" w14:textId="77777777" w:rsidR="00562778" w:rsidRDefault="00562778">
      <w:pPr>
        <w:spacing w:after="60"/>
      </w:pPr>
    </w:p>
    <w:p w14:paraId="41311B64" w14:textId="65ADFD4A" w:rsidR="00E37626" w:rsidRDefault="002E4202">
      <w:pPr>
        <w:pStyle w:val="Naslov2"/>
      </w:pPr>
      <w:r>
        <w:t xml:space="preserve">4.3. </w:t>
      </w:r>
      <w:r w:rsidR="009544DA">
        <w:t>Financijski okvir Programa</w:t>
      </w:r>
    </w:p>
    <w:p w14:paraId="13F4A2C6" w14:textId="5EDAE87B" w:rsidR="00E37626" w:rsidRDefault="003F4A88">
      <w:pPr>
        <w:spacing w:after="120" w:line="276" w:lineRule="auto"/>
        <w:jc w:val="both"/>
      </w:pPr>
      <w:r>
        <w:t>Za provedbu Programa planiraju se sredstva u ukupnom iznosu do 250.000 EUR Proračuna Zadarsk</w:t>
      </w:r>
      <w:r w:rsidR="00E406E7">
        <w:t>e Županije, prema sljedećem okvirnom rasporedu:</w:t>
      </w:r>
    </w:p>
    <w:p w14:paraId="2B15386F" w14:textId="40A6D5ED" w:rsidR="00E37626" w:rsidRDefault="002E4202">
      <w:pPr>
        <w:pStyle w:val="Odlomakpopisa"/>
        <w:numPr>
          <w:ilvl w:val="0"/>
          <w:numId w:val="2"/>
        </w:numPr>
        <w:spacing w:after="100" w:line="260" w:lineRule="auto"/>
      </w:pPr>
      <w:r>
        <w:t>2027. godina: do 50.000 EUR</w:t>
      </w:r>
    </w:p>
    <w:p w14:paraId="6822BE22" w14:textId="012841E0" w:rsidR="00E37626" w:rsidRDefault="002E4202">
      <w:pPr>
        <w:pStyle w:val="Odlomakpopisa"/>
        <w:numPr>
          <w:ilvl w:val="0"/>
          <w:numId w:val="2"/>
        </w:numPr>
        <w:spacing w:after="100" w:line="260" w:lineRule="auto"/>
      </w:pPr>
      <w:r>
        <w:t>2028. godina: do 100.000 EUR</w:t>
      </w:r>
    </w:p>
    <w:p w14:paraId="17E506F4" w14:textId="7767687B" w:rsidR="00E37626" w:rsidRDefault="002E4202">
      <w:pPr>
        <w:pStyle w:val="Odlomakpopisa"/>
        <w:numPr>
          <w:ilvl w:val="0"/>
          <w:numId w:val="2"/>
        </w:numPr>
        <w:spacing w:after="100" w:line="260" w:lineRule="auto"/>
      </w:pPr>
      <w:r>
        <w:t>2029. godina: do 100.000 EUR</w:t>
      </w:r>
    </w:p>
    <w:p w14:paraId="484887FF" w14:textId="076B954E" w:rsidR="00E37626" w:rsidRDefault="00C25584" w:rsidP="00972E26">
      <w:pPr>
        <w:spacing w:after="120" w:line="276" w:lineRule="auto"/>
        <w:jc w:val="both"/>
      </w:pPr>
      <w:r w:rsidRPr="00C25584">
        <w:t>Točan iznos sredstava raspoloživih za pojedini provedbeni ciklus utvrđuje se važećim Proračunom Zadarske županije i navodi u godišnjem Javnom pozivu.</w:t>
      </w:r>
    </w:p>
    <w:p w14:paraId="4C3452C6" w14:textId="77777777" w:rsidR="008F5326" w:rsidRPr="008F5326" w:rsidRDefault="008F5326" w:rsidP="008F5326">
      <w:pPr>
        <w:spacing w:after="120" w:line="276" w:lineRule="auto"/>
        <w:jc w:val="both"/>
      </w:pPr>
      <w:r w:rsidRPr="008F5326">
        <w:lastRenderedPageBreak/>
        <w:t>Sredstva koja jedinice lokalne samouprave osiguravaju za sufinanciranje prihvatljivih aktivnosti nisu uključena u ukupni financijski okvir Zadarske županije.</w:t>
      </w:r>
    </w:p>
    <w:p w14:paraId="0075350F" w14:textId="77777777" w:rsidR="00E37626" w:rsidRDefault="002E4202">
      <w:pPr>
        <w:pStyle w:val="Naslov1"/>
      </w:pPr>
      <w:r>
        <w:t>V. HODOGRAM PROGRAMA</w:t>
      </w:r>
    </w:p>
    <w:p w14:paraId="2B813C18" w14:textId="77777777" w:rsidR="00E37626" w:rsidRDefault="00E37626">
      <w:pPr>
        <w:pBdr>
          <w:bottom w:val="single" w:sz="4" w:space="1" w:color="2B5DA6"/>
        </w:pBdr>
        <w:spacing w:before="200" w:after="200"/>
      </w:pPr>
    </w:p>
    <w:p w14:paraId="17EB2EAD" w14:textId="6E9D2CCE" w:rsidR="00E37626" w:rsidRDefault="002E4202">
      <w:pPr>
        <w:spacing w:after="120" w:line="276" w:lineRule="auto"/>
        <w:jc w:val="both"/>
      </w:pPr>
      <w:r>
        <w:t xml:space="preserve">Program se odvija prema sljedećem hodogramu koji se ponavlja </w:t>
      </w:r>
      <w:r w:rsidR="007C5CE9">
        <w:t>u svakom provedbenom ciklusu</w:t>
      </w:r>
      <w:r>
        <w: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000"/>
        <w:gridCol w:w="3826"/>
      </w:tblGrid>
      <w:tr w:rsidR="00E37626" w14:paraId="0BFDA762" w14:textId="77777777" w:rsidTr="13D0238F">
        <w:tc>
          <w:tcPr>
            <w:tcW w:w="2200" w:type="dxa"/>
            <w:tcBorders>
              <w:top w:val="single" w:sz="1" w:space="0" w:color="AAAAAA"/>
              <w:left w:val="single" w:sz="1" w:space="0" w:color="AAAAAA"/>
              <w:bottom w:val="single" w:sz="1" w:space="0" w:color="AAAAAA"/>
              <w:right w:val="single" w:sz="1" w:space="0" w:color="AAAAAA"/>
            </w:tcBorders>
            <w:shd w:val="clear" w:color="auto" w:fill="1A3A6B"/>
            <w:tcMar>
              <w:top w:w="80" w:type="dxa"/>
              <w:left w:w="120" w:type="dxa"/>
              <w:bottom w:w="80" w:type="dxa"/>
              <w:right w:w="120" w:type="dxa"/>
            </w:tcMar>
          </w:tcPr>
          <w:p w14:paraId="346A6C8A" w14:textId="77777777" w:rsidR="00E37626" w:rsidRDefault="002E4202">
            <w:r>
              <w:rPr>
                <w:b/>
                <w:bCs/>
                <w:color w:val="FFFFFF"/>
                <w:sz w:val="20"/>
                <w:szCs w:val="20"/>
              </w:rPr>
              <w:t>Vremenski okvir</w:t>
            </w:r>
          </w:p>
        </w:tc>
        <w:tc>
          <w:tcPr>
            <w:tcW w:w="3000" w:type="dxa"/>
            <w:tcBorders>
              <w:top w:val="single" w:sz="1" w:space="0" w:color="AAAAAA"/>
              <w:left w:val="single" w:sz="1" w:space="0" w:color="AAAAAA"/>
              <w:bottom w:val="single" w:sz="1" w:space="0" w:color="AAAAAA"/>
              <w:right w:val="single" w:sz="1" w:space="0" w:color="AAAAAA"/>
            </w:tcBorders>
            <w:shd w:val="clear" w:color="auto" w:fill="1A3A6B"/>
            <w:tcMar>
              <w:top w:w="80" w:type="dxa"/>
              <w:left w:w="120" w:type="dxa"/>
              <w:bottom w:w="80" w:type="dxa"/>
              <w:right w:w="120" w:type="dxa"/>
            </w:tcMar>
          </w:tcPr>
          <w:p w14:paraId="71D2C97A" w14:textId="77777777" w:rsidR="00E37626" w:rsidRDefault="002E4202">
            <w:r>
              <w:rPr>
                <w:b/>
                <w:bCs/>
                <w:color w:val="FFFFFF"/>
                <w:sz w:val="20"/>
                <w:szCs w:val="20"/>
              </w:rPr>
              <w:t>Aktivnost</w:t>
            </w:r>
          </w:p>
        </w:tc>
        <w:tc>
          <w:tcPr>
            <w:tcW w:w="3826" w:type="dxa"/>
            <w:tcBorders>
              <w:top w:val="single" w:sz="1" w:space="0" w:color="AAAAAA"/>
              <w:left w:val="single" w:sz="1" w:space="0" w:color="AAAAAA"/>
              <w:bottom w:val="single" w:sz="1" w:space="0" w:color="AAAAAA"/>
              <w:right w:val="single" w:sz="1" w:space="0" w:color="AAAAAA"/>
            </w:tcBorders>
            <w:shd w:val="clear" w:color="auto" w:fill="1A3A6B"/>
            <w:tcMar>
              <w:top w:w="80" w:type="dxa"/>
              <w:left w:w="120" w:type="dxa"/>
              <w:bottom w:w="80" w:type="dxa"/>
              <w:right w:w="120" w:type="dxa"/>
            </w:tcMar>
          </w:tcPr>
          <w:p w14:paraId="3E883FA0" w14:textId="77777777" w:rsidR="00E37626" w:rsidRDefault="002E4202">
            <w:r>
              <w:rPr>
                <w:b/>
                <w:bCs/>
                <w:color w:val="FFFFFF"/>
                <w:sz w:val="20"/>
                <w:szCs w:val="20"/>
              </w:rPr>
              <w:t>Napomena</w:t>
            </w:r>
          </w:p>
        </w:tc>
      </w:tr>
      <w:tr w:rsidR="00E37626" w14:paraId="1EC5129A" w14:textId="77777777" w:rsidTr="13D0238F">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0B0E4E" w14:textId="1ECCC59C" w:rsidR="00E37626" w:rsidRDefault="00A8597B">
            <w:r>
              <w:rPr>
                <w:sz w:val="20"/>
                <w:szCs w:val="20"/>
              </w:rPr>
              <w:t>Srpanj</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4C30868D" w14:textId="2E317CDE" w:rsidR="00E37626" w:rsidRDefault="002E4202">
            <w:r>
              <w:rPr>
                <w:b/>
                <w:bCs/>
                <w:sz w:val="20"/>
                <w:szCs w:val="20"/>
              </w:rPr>
              <w:t xml:space="preserve">Objava </w:t>
            </w:r>
            <w:r w:rsidR="00E33B1F">
              <w:rPr>
                <w:b/>
                <w:bCs/>
                <w:sz w:val="20"/>
                <w:szCs w:val="20"/>
              </w:rPr>
              <w:t>i provedba ankete za iskaz interesa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A69C3F" w14:textId="458338F0" w:rsidR="00E37626" w:rsidRDefault="0038422F">
            <w:r w:rsidRPr="0038422F">
              <w:rPr>
                <w:sz w:val="20"/>
                <w:szCs w:val="20"/>
              </w:rPr>
              <w:t xml:space="preserve">Prikupljanje podataka, uz suradnju </w:t>
            </w:r>
            <w:r>
              <w:rPr>
                <w:sz w:val="20"/>
                <w:szCs w:val="20"/>
              </w:rPr>
              <w:t>JLS,</w:t>
            </w:r>
            <w:r w:rsidRPr="0038422F">
              <w:rPr>
                <w:sz w:val="20"/>
                <w:szCs w:val="20"/>
              </w:rPr>
              <w:t xml:space="preserve"> o broju zainteresiranih poljoprivrednika, planiranim površinama, potrebnim količinama sadnica i financijskim potrebama</w:t>
            </w:r>
          </w:p>
        </w:tc>
      </w:tr>
      <w:tr w:rsidR="00E37626" w14:paraId="76CE791D" w14:textId="77777777" w:rsidTr="13D0238F">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8B07C4" w14:textId="3B9022B2" w:rsidR="00E37626" w:rsidRDefault="00F41D1C">
            <w:r>
              <w:rPr>
                <w:sz w:val="20"/>
                <w:szCs w:val="20"/>
              </w:rPr>
              <w:t>Kolovoz</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3EB5BCC6" w14:textId="238FDC89" w:rsidR="00E37626" w:rsidRDefault="00A056B3">
            <w:r w:rsidRPr="00A056B3">
              <w:rPr>
                <w:b/>
                <w:bCs/>
                <w:sz w:val="20"/>
                <w:szCs w:val="20"/>
              </w:rPr>
              <w:t>Obrada rezultata ankete, koordinacija potrebnih količina sadnica i priprema Javnog poziva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17D836" w14:textId="610C2D63" w:rsidR="00E37626" w:rsidRDefault="00A056B3">
            <w:r w:rsidRPr="00A056B3">
              <w:rPr>
                <w:sz w:val="20"/>
                <w:szCs w:val="20"/>
              </w:rPr>
              <w:t>Provođenje komunikacije s registriranim dobavljačima radi pravodobnog</w:t>
            </w:r>
            <w:r>
              <w:rPr>
                <w:sz w:val="20"/>
                <w:szCs w:val="20"/>
              </w:rPr>
              <w:t xml:space="preserve"> </w:t>
            </w:r>
            <w:r w:rsidRPr="00A056B3">
              <w:rPr>
                <w:sz w:val="20"/>
                <w:szCs w:val="20"/>
              </w:rPr>
              <w:t xml:space="preserve">planiranja i </w:t>
            </w:r>
            <w:r w:rsidR="00AA6B03">
              <w:rPr>
                <w:sz w:val="20"/>
                <w:szCs w:val="20"/>
              </w:rPr>
              <w:t>koordinacije</w:t>
            </w:r>
            <w:r w:rsidRPr="00A056B3">
              <w:rPr>
                <w:sz w:val="20"/>
                <w:szCs w:val="20"/>
              </w:rPr>
              <w:t xml:space="preserve"> sadnog materijala; utvrđivanje uvjeta, dokumentacije, kriterija odabira i raspoloživih sredstava</w:t>
            </w:r>
          </w:p>
        </w:tc>
      </w:tr>
      <w:tr w:rsidR="00E37626" w14:paraId="63FCB83A" w14:textId="77777777" w:rsidTr="13D0238F">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A094425" w14:textId="1571E876" w:rsidR="00E37626" w:rsidRDefault="002E4202">
            <w:r>
              <w:rPr>
                <w:sz w:val="20"/>
                <w:szCs w:val="20"/>
              </w:rPr>
              <w:t xml:space="preserve"> </w:t>
            </w:r>
            <w:r w:rsidR="005473C1">
              <w:rPr>
                <w:sz w:val="20"/>
                <w:szCs w:val="20"/>
              </w:rPr>
              <w:t>Rujan</w:t>
            </w:r>
            <w:r w:rsidR="00097131">
              <w:rPr>
                <w:sz w:val="20"/>
                <w:szCs w:val="20"/>
              </w:rPr>
              <w:t xml:space="preserve"> - Listopad</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00882DF7" w14:textId="7F01FCA7" w:rsidR="00E37626" w:rsidRDefault="00E979BB">
            <w:r w:rsidRPr="00E979BB">
              <w:rPr>
                <w:b/>
                <w:bCs/>
                <w:sz w:val="20"/>
                <w:szCs w:val="20"/>
              </w:rPr>
              <w:t>Objava godišnjeg Javnog poziva i podnošenje prijava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3580D23" w14:textId="0A469A11" w:rsidR="00E37626" w:rsidRDefault="00E979BB">
            <w:r w:rsidRPr="00E979BB">
              <w:rPr>
                <w:sz w:val="20"/>
                <w:szCs w:val="20"/>
              </w:rPr>
              <w:t>Javni poziv otvoren je približno 30 dana</w:t>
            </w:r>
          </w:p>
        </w:tc>
      </w:tr>
      <w:tr w:rsidR="00E37626" w14:paraId="76F55DFA" w14:textId="77777777" w:rsidTr="13D0238F">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1347D77" w14:textId="51913A58" w:rsidR="00E37626" w:rsidRDefault="00E979BB">
            <w:r>
              <w:rPr>
                <w:sz w:val="20"/>
                <w:szCs w:val="20"/>
              </w:rPr>
              <w:t xml:space="preserve">Listopad </w:t>
            </w:r>
            <w:r w:rsidR="00097131">
              <w:rPr>
                <w:sz w:val="20"/>
                <w:szCs w:val="20"/>
              </w:rPr>
              <w:t>- Studeni</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05BE2A81" w14:textId="58FDCF50" w:rsidR="00E37626" w:rsidRDefault="00E979BB">
            <w:r w:rsidRPr="00E979BB">
              <w:rPr>
                <w:b/>
                <w:bCs/>
                <w:sz w:val="20"/>
                <w:szCs w:val="20"/>
              </w:rPr>
              <w:t>Administrativna provjera i ocjenjivanje prijava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715C78" w14:textId="1C070363" w:rsidR="00E37626" w:rsidRDefault="00E6103D">
            <w:r>
              <w:rPr>
                <w:sz w:val="20"/>
                <w:szCs w:val="20"/>
              </w:rPr>
              <w:t>P</w:t>
            </w:r>
            <w:r w:rsidR="002E4202">
              <w:rPr>
                <w:sz w:val="20"/>
                <w:szCs w:val="20"/>
              </w:rPr>
              <w:t>rovjer</w:t>
            </w:r>
            <w:r w:rsidR="00FC5767">
              <w:rPr>
                <w:sz w:val="20"/>
                <w:szCs w:val="20"/>
              </w:rPr>
              <w:t>a</w:t>
            </w:r>
            <w:r w:rsidR="002E4202">
              <w:rPr>
                <w:sz w:val="20"/>
                <w:szCs w:val="20"/>
              </w:rPr>
              <w:t xml:space="preserve"> dokumentacije</w:t>
            </w:r>
          </w:p>
        </w:tc>
      </w:tr>
      <w:tr w:rsidR="00FC5767" w14:paraId="4D6EE874" w14:textId="77777777" w:rsidTr="13D0238F">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4408D2" w14:textId="54199FD7" w:rsidR="00FC5767" w:rsidRDefault="00E6103D">
            <w:pPr>
              <w:rPr>
                <w:sz w:val="20"/>
                <w:szCs w:val="20"/>
              </w:rPr>
            </w:pPr>
            <w:r>
              <w:rPr>
                <w:sz w:val="20"/>
                <w:szCs w:val="20"/>
              </w:rPr>
              <w:t>Studeni</w:t>
            </w:r>
            <w:r w:rsidR="00097131">
              <w:rPr>
                <w:sz w:val="20"/>
                <w:szCs w:val="20"/>
              </w:rPr>
              <w:t xml:space="preserve"> - Prosinac</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67135673" w14:textId="7615E1C1" w:rsidR="00FC5767" w:rsidRDefault="001D2279">
            <w:pPr>
              <w:rPr>
                <w:b/>
                <w:bCs/>
                <w:sz w:val="20"/>
                <w:szCs w:val="20"/>
              </w:rPr>
            </w:pPr>
            <w:r w:rsidRPr="001D2279">
              <w:rPr>
                <w:b/>
                <w:bCs/>
                <w:sz w:val="20"/>
                <w:szCs w:val="20"/>
              </w:rPr>
              <w:t xml:space="preserve">Donošenje odluke o odabiru </w:t>
            </w:r>
            <w:r w:rsidR="00AE053D">
              <w:rPr>
                <w:b/>
                <w:bCs/>
                <w:sz w:val="20"/>
                <w:szCs w:val="20"/>
              </w:rPr>
              <w:t>JLS</w:t>
            </w:r>
            <w:r w:rsidRPr="001D2279">
              <w:rPr>
                <w:b/>
                <w:bCs/>
                <w:sz w:val="20"/>
                <w:szCs w:val="20"/>
              </w:rPr>
              <w:t xml:space="preserve"> i dodjeli </w:t>
            </w:r>
            <w:r w:rsidR="008F5326">
              <w:rPr>
                <w:b/>
                <w:bCs/>
                <w:sz w:val="20"/>
                <w:szCs w:val="20"/>
              </w:rPr>
              <w:t>sredstava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E864C6" w14:textId="0C0E8B38" w:rsidR="00FC5767" w:rsidRDefault="00D1440A">
            <w:pPr>
              <w:rPr>
                <w:sz w:val="20"/>
                <w:szCs w:val="20"/>
              </w:rPr>
            </w:pPr>
            <w:r w:rsidRPr="00D1440A">
              <w:rPr>
                <w:sz w:val="20"/>
                <w:szCs w:val="20"/>
              </w:rPr>
              <w:t>Odlukom se utvrđuju odabran</w:t>
            </w:r>
            <w:r w:rsidR="00AE053D">
              <w:rPr>
                <w:sz w:val="20"/>
                <w:szCs w:val="20"/>
              </w:rPr>
              <w:t>e JLS</w:t>
            </w:r>
            <w:r>
              <w:rPr>
                <w:sz w:val="20"/>
                <w:szCs w:val="20"/>
              </w:rPr>
              <w:t xml:space="preserve"> i</w:t>
            </w:r>
            <w:r w:rsidRPr="00D1440A">
              <w:rPr>
                <w:sz w:val="20"/>
                <w:szCs w:val="20"/>
              </w:rPr>
              <w:t xml:space="preserve"> najviši odobreni iznos </w:t>
            </w:r>
            <w:r w:rsidR="008F5326">
              <w:rPr>
                <w:sz w:val="20"/>
                <w:szCs w:val="20"/>
              </w:rPr>
              <w:t>sredstava</w:t>
            </w:r>
          </w:p>
        </w:tc>
      </w:tr>
      <w:tr w:rsidR="0017395D" w14:paraId="43DE69D9" w14:textId="77777777" w:rsidTr="00410A0C">
        <w:tc>
          <w:tcPr>
            <w:tcW w:w="2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58AF489" w14:textId="7FA60E9D" w:rsidR="0017395D" w:rsidDel="00E6103D" w:rsidRDefault="0017395D">
            <w:pPr>
              <w:rPr>
                <w:sz w:val="20"/>
                <w:szCs w:val="20"/>
              </w:rPr>
            </w:pPr>
            <w:r>
              <w:rPr>
                <w:sz w:val="20"/>
                <w:szCs w:val="20"/>
              </w:rPr>
              <w:t>Siječanj - Ožujak</w:t>
            </w:r>
          </w:p>
        </w:tc>
        <w:tc>
          <w:tcPr>
            <w:tcW w:w="3000" w:type="dxa"/>
            <w:tcBorders>
              <w:top w:val="single" w:sz="1" w:space="0" w:color="AAAAAA"/>
              <w:left w:val="single" w:sz="1" w:space="0" w:color="AAAAAA"/>
              <w:bottom w:val="single" w:sz="1" w:space="0" w:color="AAAAAA"/>
              <w:right w:val="single" w:sz="1" w:space="0" w:color="AAAAAA"/>
            </w:tcBorders>
            <w:shd w:val="clear" w:color="auto" w:fill="F0F5FF"/>
            <w:tcMar>
              <w:top w:w="80" w:type="dxa"/>
              <w:left w:w="120" w:type="dxa"/>
              <w:bottom w:w="80" w:type="dxa"/>
              <w:right w:w="120" w:type="dxa"/>
            </w:tcMar>
          </w:tcPr>
          <w:p w14:paraId="3ED3CF23" w14:textId="097D0439" w:rsidR="0017395D" w:rsidRPr="001D2279" w:rsidRDefault="00410A0C">
            <w:pPr>
              <w:rPr>
                <w:b/>
                <w:bCs/>
                <w:sz w:val="20"/>
                <w:szCs w:val="20"/>
              </w:rPr>
            </w:pPr>
            <w:r>
              <w:rPr>
                <w:b/>
                <w:bCs/>
                <w:sz w:val="20"/>
                <w:szCs w:val="20"/>
              </w:rPr>
              <w:t>Priprema i objava lokalnih javnih poziva</w:t>
            </w:r>
          </w:p>
        </w:tc>
        <w:tc>
          <w:tcPr>
            <w:tcW w:w="3826"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EBE415D" w14:textId="0E0F0A25" w:rsidR="0017395D" w:rsidRPr="00D1440A" w:rsidRDefault="00410A0C" w:rsidP="00410A0C">
            <w:pPr>
              <w:rPr>
                <w:sz w:val="20"/>
                <w:szCs w:val="20"/>
              </w:rPr>
            </w:pPr>
            <w:r w:rsidRPr="00410A0C">
              <w:rPr>
                <w:sz w:val="20"/>
                <w:szCs w:val="20"/>
              </w:rPr>
              <w:t>Odabrane jedinice lokalne samouprave objavljuju pozive prema poljoprivrednicima kao krajnjim korisnicima</w:t>
            </w:r>
          </w:p>
        </w:tc>
      </w:tr>
    </w:tbl>
    <w:p w14:paraId="7F8A3F73" w14:textId="77777777" w:rsidR="00796521" w:rsidRDefault="00796521">
      <w:pPr>
        <w:spacing w:after="60"/>
      </w:pPr>
    </w:p>
    <w:p w14:paraId="3E233FB9" w14:textId="3123B65C" w:rsidR="00E37626" w:rsidRDefault="002A3762" w:rsidP="006C0828">
      <w:pPr>
        <w:spacing w:after="60"/>
        <w:jc w:val="both"/>
      </w:pPr>
      <w:r w:rsidRPr="002A3762">
        <w:t xml:space="preserve">Poljoprivrednici koji podnesu iskaz interesa mogu nakon predaje ankete, na vlastitu odgovornost, započeti pripremne aktivnosti povezane s podizanjem nasada, uključujući planiranje ulaganja, analizu tla i rezervaciju sadnog materijala. Podnošenje iskaza interesa, započinjanje aktivnosti ili rezervacija sadnog materijala ne predstavljaju odobrenje potpore, ne jamče odabir na lokalnom javnom pozivu i ne stvaraju pravo na povrat nastalih troškova. </w:t>
      </w:r>
      <w:r w:rsidR="006C0828" w:rsidRPr="006C0828">
        <w:t>Najraniji datum od kojega troškovi krajnjih korisnika mogu biti prihvatljivi utvrđuje se godišnjim Javnim pozivom Zadarske županije i obvezno se primjenjuje u svim lokalnim javnim pozivima.</w:t>
      </w:r>
    </w:p>
    <w:p w14:paraId="69507871" w14:textId="77777777" w:rsidR="00E37626" w:rsidRDefault="002E4202">
      <w:pPr>
        <w:pStyle w:val="Naslov1"/>
      </w:pPr>
      <w:r>
        <w:t>VI. OBVEZNA DOKUMENTACIJA ZA PRIJAVU</w:t>
      </w:r>
    </w:p>
    <w:p w14:paraId="4F2977E4" w14:textId="77777777" w:rsidR="00E37626" w:rsidRDefault="00E37626">
      <w:pPr>
        <w:pBdr>
          <w:bottom w:val="single" w:sz="4" w:space="1" w:color="2B5DA6"/>
        </w:pBdr>
        <w:spacing w:before="200" w:after="200"/>
      </w:pPr>
    </w:p>
    <w:p w14:paraId="3D0432ED" w14:textId="4082A379" w:rsidR="00E36F1F" w:rsidRPr="00E36F1F" w:rsidRDefault="00E36F1F" w:rsidP="00E36F1F">
      <w:pPr>
        <w:spacing w:after="120" w:line="276" w:lineRule="auto"/>
        <w:jc w:val="both"/>
      </w:pPr>
      <w:r w:rsidRPr="00E36F1F">
        <w:t>Prijava jedinice lokalne samouprave na godišnji Javni poziv Zadarske županije podnosi se putem sustava SOM i mora sadržavati:</w:t>
      </w:r>
    </w:p>
    <w:p w14:paraId="65229246" w14:textId="77777777" w:rsidR="00E36F1F" w:rsidRPr="00E36F1F" w:rsidRDefault="00E36F1F" w:rsidP="00E36F1F">
      <w:pPr>
        <w:numPr>
          <w:ilvl w:val="0"/>
          <w:numId w:val="6"/>
        </w:numPr>
        <w:spacing w:after="120" w:line="276" w:lineRule="auto"/>
        <w:jc w:val="both"/>
      </w:pPr>
      <w:r w:rsidRPr="00E36F1F">
        <w:t xml:space="preserve">ispunjen prijavni obrazac s procjenom broja krajnjih korisnika, planiranih površina, potrebnih količina sadnica, planiranih aktivnosti i zatraženog iznosa sredstava; </w:t>
      </w:r>
    </w:p>
    <w:p w14:paraId="7A528202" w14:textId="77777777" w:rsidR="00E36F1F" w:rsidRPr="00E36F1F" w:rsidRDefault="00E36F1F" w:rsidP="00E36F1F">
      <w:pPr>
        <w:numPr>
          <w:ilvl w:val="0"/>
          <w:numId w:val="6"/>
        </w:numPr>
        <w:spacing w:after="120" w:line="276" w:lineRule="auto"/>
        <w:jc w:val="both"/>
      </w:pPr>
      <w:r w:rsidRPr="00E36F1F">
        <w:lastRenderedPageBreak/>
        <w:t xml:space="preserve">dokaz ili izjavu odgovorne osobe o osiguranim odnosno planiranim vlastitim sredstvima jedinice lokalne samouprave za provedbu Programa; </w:t>
      </w:r>
    </w:p>
    <w:p w14:paraId="4A528D39" w14:textId="77777777" w:rsidR="00E36F1F" w:rsidRPr="00E36F1F" w:rsidRDefault="00E36F1F" w:rsidP="00E36F1F">
      <w:pPr>
        <w:numPr>
          <w:ilvl w:val="0"/>
          <w:numId w:val="6"/>
        </w:numPr>
        <w:spacing w:after="120" w:line="276" w:lineRule="auto"/>
        <w:jc w:val="both"/>
      </w:pPr>
      <w:r w:rsidRPr="00E36F1F">
        <w:t xml:space="preserve">izjavu o prihvaćanju obveze provedbe lokalnog javnog poziva, kontrole namjenskog korištenja sredstava i izvještavanja Zadarske županije; </w:t>
      </w:r>
    </w:p>
    <w:p w14:paraId="5C009F58" w14:textId="77777777" w:rsidR="00E36F1F" w:rsidRPr="00E36F1F" w:rsidRDefault="00E36F1F" w:rsidP="00E36F1F">
      <w:pPr>
        <w:numPr>
          <w:ilvl w:val="0"/>
          <w:numId w:val="6"/>
        </w:numPr>
        <w:spacing w:after="120" w:line="276" w:lineRule="auto"/>
        <w:jc w:val="both"/>
      </w:pPr>
      <w:r w:rsidRPr="00E36F1F">
        <w:t xml:space="preserve">ostalu dokumentaciju utvrđenu godišnjim Javnim pozivom i Uputama za prijavitelje. </w:t>
      </w:r>
    </w:p>
    <w:p w14:paraId="1EEDD26E" w14:textId="77777777" w:rsidR="00E36F1F" w:rsidRPr="00E36F1F" w:rsidRDefault="00E36F1F" w:rsidP="00E36F1F">
      <w:pPr>
        <w:spacing w:after="120" w:line="276" w:lineRule="auto"/>
        <w:jc w:val="both"/>
      </w:pPr>
      <w:r w:rsidRPr="00E36F1F">
        <w:t>Zadarska županija može tijekom administrativne provjere od prijavitelja zatražiti pojašnjenje ili dopunu dostavljene dokumentacije u roku utvrđenom godišnjim Javnim pozivom.</w:t>
      </w:r>
    </w:p>
    <w:p w14:paraId="24AE892C" w14:textId="77777777" w:rsidR="00E36F1F" w:rsidRPr="00E36F1F" w:rsidRDefault="00E36F1F" w:rsidP="00E36F1F">
      <w:pPr>
        <w:spacing w:after="120" w:line="276" w:lineRule="auto"/>
        <w:jc w:val="both"/>
      </w:pPr>
      <w:r w:rsidRPr="00E36F1F">
        <w:t>Dokumentacija koju krajnji korisnici dostavljaju jedinicama lokalne samouprave utvrdit će se Uputama za prijavitelje i lokalnim javnim pozivima.</w:t>
      </w:r>
    </w:p>
    <w:p w14:paraId="10CA8360" w14:textId="6EC62442" w:rsidR="00E37626" w:rsidRDefault="002E4202">
      <w:pPr>
        <w:pStyle w:val="Naslov1"/>
      </w:pPr>
      <w:r>
        <w:t xml:space="preserve">VII. </w:t>
      </w:r>
      <w:r w:rsidR="00951FE6">
        <w:t>ISPLATA SREDSTAVA I IZVJEŠTAVANJE O PROVEDBI</w:t>
      </w:r>
    </w:p>
    <w:p w14:paraId="441EA39C" w14:textId="77777777" w:rsidR="00E37626" w:rsidRDefault="00E37626">
      <w:pPr>
        <w:pBdr>
          <w:bottom w:val="single" w:sz="4" w:space="1" w:color="2B5DA6"/>
        </w:pBdr>
        <w:spacing w:before="200" w:after="200"/>
      </w:pPr>
    </w:p>
    <w:p w14:paraId="585D01C4" w14:textId="75AD2757" w:rsidR="00935901" w:rsidRPr="00935901" w:rsidRDefault="00935901" w:rsidP="00935901">
      <w:pPr>
        <w:spacing w:after="120" w:line="276" w:lineRule="auto"/>
        <w:jc w:val="both"/>
      </w:pPr>
      <w:r w:rsidRPr="00935901">
        <w:t>Odabrane jedinice lokalne samouprave dužne su dodijeljena sredstva koristiti namjenski, za provedbu lokalnih javnih poziva i isplatu potpora krajnjim korisnicima.</w:t>
      </w:r>
    </w:p>
    <w:p w14:paraId="72C693D1" w14:textId="11B38236" w:rsidR="00E37626" w:rsidRDefault="00935901">
      <w:pPr>
        <w:spacing w:after="60"/>
      </w:pPr>
      <w:r w:rsidRPr="00935901">
        <w:t>Način i dinamika prijenosa sredstava jedinicama lokalne samouprave, postupak isplate potpora krajnjim korisnicima, potrebna dokumentacija, rokovi, obveze izvještavanja i postupanje s neutrošenim sredstvima utvrdit će se godišnjim Javnim pozivom, Uputama za prijavitelje i ugovorom o dodjeli sredstava.</w:t>
      </w:r>
    </w:p>
    <w:p w14:paraId="63D2B550" w14:textId="2E96FBF4" w:rsidR="00E37626" w:rsidRDefault="002E4202" w:rsidP="0017512B">
      <w:pPr>
        <w:pStyle w:val="Naslov1"/>
      </w:pPr>
      <w:r>
        <w:t xml:space="preserve">VIII. POSTUPAK DODJELE </w:t>
      </w:r>
      <w:r w:rsidR="00F0027B">
        <w:t>SREDSTAVA</w:t>
      </w:r>
    </w:p>
    <w:p w14:paraId="6A875E43" w14:textId="714C8B2A" w:rsidR="00E2699C" w:rsidRPr="00E2699C" w:rsidRDefault="00E2699C" w:rsidP="00E2699C">
      <w:pPr>
        <w:spacing w:after="120" w:line="276" w:lineRule="auto"/>
        <w:jc w:val="both"/>
      </w:pPr>
      <w:r w:rsidRPr="00E2699C">
        <w:t>Na temelju ovoga Programa Zadarska županija, putem Upravnog odjela za poljoprivredu, ribarstvo i vodno gospodarstvo, objavljuje godišnji Javni poziv za dodjelu sredstava jedinicama lokalne samouprave. Javni poziv objavljuje se na službenoj mrežnoj stranici Zadarske županije i u sustavu SOM.</w:t>
      </w:r>
    </w:p>
    <w:p w14:paraId="66382B38" w14:textId="77777777" w:rsidR="00E2699C" w:rsidRPr="00E2699C" w:rsidRDefault="00E2699C" w:rsidP="00E2699C">
      <w:pPr>
        <w:spacing w:after="120" w:line="276" w:lineRule="auto"/>
        <w:jc w:val="both"/>
      </w:pPr>
      <w:r w:rsidRPr="00E2699C">
        <w:t>Administrativnu provjeru prijava provodi nadležni upravni odjel, a prihvatljive prijave dostavljaju se Povjerenstvu za ocjenjivanje prijava koje imenuje župan.</w:t>
      </w:r>
    </w:p>
    <w:p w14:paraId="13DEFF5A" w14:textId="77777777" w:rsidR="00E2699C" w:rsidRPr="00E2699C" w:rsidRDefault="00E2699C" w:rsidP="00E2699C">
      <w:pPr>
        <w:spacing w:after="120" w:line="276" w:lineRule="auto"/>
        <w:jc w:val="both"/>
      </w:pPr>
      <w:r w:rsidRPr="00E2699C">
        <w:t>Povjerenstvo ocjenjuje prijave prema kriterijima utvrđenima godišnjim Javnim pozivom i Uputama za prijavitelje te izrađuje prijedlog odluke o odabiru jedinica lokalne samouprave i dodjeli sredstava.</w:t>
      </w:r>
    </w:p>
    <w:p w14:paraId="6CF6EAC5" w14:textId="77777777" w:rsidR="00E2699C" w:rsidRPr="00E2699C" w:rsidRDefault="00E2699C" w:rsidP="00E2699C">
      <w:pPr>
        <w:spacing w:after="120" w:line="276" w:lineRule="auto"/>
        <w:jc w:val="both"/>
      </w:pPr>
      <w:r w:rsidRPr="00E2699C">
        <w:t>Odluku o odabiru i dodjeli sredstava donosi župan Zadarske županije. Prijavitelji se o rezultatu obavještavaju putem sustava SOM, a odluka se objavljuje na službenoj mrežnoj stranici Zadarske županije.</w:t>
      </w:r>
    </w:p>
    <w:p w14:paraId="579987EB" w14:textId="77777777" w:rsidR="00E2699C" w:rsidRPr="00E2699C" w:rsidRDefault="00E2699C" w:rsidP="00E2699C">
      <w:pPr>
        <w:spacing w:after="120" w:line="276" w:lineRule="auto"/>
        <w:jc w:val="both"/>
      </w:pPr>
      <w:r w:rsidRPr="00E2699C">
        <w:t>Prijavitelj može podnijeti prigovor u roku od osam dana od dana dostave obavijesti o rezultatu. Način podnošenja i odlučivanja o prigovoru utvrđuje se godišnjim Javnim pozivom.</w:t>
      </w:r>
    </w:p>
    <w:p w14:paraId="482BF2E1" w14:textId="4B283700" w:rsidR="00E37626" w:rsidRDefault="00E2699C" w:rsidP="00E2699C">
      <w:pPr>
        <w:spacing w:after="120" w:line="276" w:lineRule="auto"/>
        <w:jc w:val="both"/>
      </w:pPr>
      <w:r w:rsidRPr="00E2699C">
        <w:t>Međusobna prava i obveze Zadarske županije i odabranih jedinica lokalne samouprave uređuju se ugovorom o dodjeli sredstava.</w:t>
      </w:r>
    </w:p>
    <w:p w14:paraId="57677B85" w14:textId="6D7DE08C" w:rsidR="00E37626" w:rsidRDefault="002E4202">
      <w:pPr>
        <w:pStyle w:val="Naslov1"/>
      </w:pPr>
      <w:r>
        <w:t xml:space="preserve">IX. KONTROLA </w:t>
      </w:r>
      <w:r w:rsidR="005162E1">
        <w:t>KORIŠTENJA SREDSTAVA</w:t>
      </w:r>
    </w:p>
    <w:p w14:paraId="4EFFC851" w14:textId="5494FF61" w:rsidR="00630033" w:rsidRDefault="00630033" w:rsidP="00630033">
      <w:pPr>
        <w:spacing w:after="120" w:line="276" w:lineRule="auto"/>
        <w:jc w:val="both"/>
      </w:pPr>
      <w:r>
        <w:t>Jedinice lokalne samouprave odgovorne su za kontrolu provedbe lokalnih javnih poziva i namjenskog korištenja sredstava od strane krajnjih korisnika.</w:t>
      </w:r>
    </w:p>
    <w:p w14:paraId="41654EA6" w14:textId="77777777" w:rsidR="00630033" w:rsidRDefault="00630033" w:rsidP="00630033">
      <w:pPr>
        <w:spacing w:after="120" w:line="276" w:lineRule="auto"/>
        <w:jc w:val="both"/>
      </w:pPr>
      <w:r>
        <w:lastRenderedPageBreak/>
        <w:t>Zadarska županija ima pravo provoditi administrativnu i terensku kontrolu korištenja dodijeljenih sredstava kod jedinica lokalne samouprave te, prema potrebi, kod krajnjih korisnika.</w:t>
      </w:r>
    </w:p>
    <w:p w14:paraId="2A96CCEF" w14:textId="60D2CDCB" w:rsidR="00E37626" w:rsidRDefault="00630033" w:rsidP="00630033">
      <w:pPr>
        <w:spacing w:after="120" w:line="276" w:lineRule="auto"/>
        <w:jc w:val="both"/>
      </w:pPr>
      <w:r>
        <w:t>Način provedbe kontrole, obveze čuvanja dokumentacije i izvještavanja pobliže se utvrđuju godišnjim Javnim pozivom, Uputama za prijavitelje i ugovorom o dodjeli sredstava</w:t>
      </w:r>
      <w:r w:rsidR="008A315B" w:rsidRPr="008A315B">
        <w:t>.</w:t>
      </w:r>
    </w:p>
    <w:p w14:paraId="2716A9C1" w14:textId="77777777" w:rsidR="00E37626" w:rsidRDefault="002E4202">
      <w:pPr>
        <w:pStyle w:val="Naslov1"/>
      </w:pPr>
      <w:r>
        <w:t>X. POVRAT SREDSTAVA</w:t>
      </w:r>
    </w:p>
    <w:p w14:paraId="1295D999" w14:textId="122DD9F0" w:rsidR="00C4021D" w:rsidRPr="00C4021D" w:rsidRDefault="00C4021D" w:rsidP="00C4021D">
      <w:pPr>
        <w:spacing w:after="120" w:line="276" w:lineRule="auto"/>
        <w:jc w:val="both"/>
      </w:pPr>
      <w:r w:rsidRPr="00C4021D">
        <w:t>Ako se utvrdi da je jedinica lokalne samouprave dostavila neistinite podatke, nenamjenski koristila sredstva, nije ispunila preuzete obveze ili nije opravdala dodijeljena sredstva, Zadarska županija zatražit će povrat cjelokupnog ili razmjernog dijela isplaćenih sredstava, uvećanog za zakonsku zateznu kamatu.</w:t>
      </w:r>
    </w:p>
    <w:p w14:paraId="19C986C5" w14:textId="77777777" w:rsidR="00C4021D" w:rsidRPr="00C4021D" w:rsidRDefault="00C4021D" w:rsidP="00C4021D">
      <w:pPr>
        <w:spacing w:after="120" w:line="276" w:lineRule="auto"/>
        <w:jc w:val="both"/>
      </w:pPr>
      <w:r w:rsidRPr="00C4021D">
        <w:t>Jedinica lokalne samouprave dužna je vratiti i sva neutrošena sredstva te sredstva koja su krajnji korisnici koristili protivno uvjetima lokalnog Javnog poziva.</w:t>
      </w:r>
    </w:p>
    <w:p w14:paraId="6343F248" w14:textId="77777777" w:rsidR="00C4021D" w:rsidRPr="00C4021D" w:rsidRDefault="00C4021D" w:rsidP="00C4021D">
      <w:pPr>
        <w:spacing w:after="120" w:line="276" w:lineRule="auto"/>
        <w:jc w:val="both"/>
      </w:pPr>
      <w:r w:rsidRPr="00C4021D">
        <w:t>Ako je jedinici lokalne samouprave pogreškom isplaćen iznos veći od pripadajućeg, dužna je vratiti više isplaćeni iznos.</w:t>
      </w:r>
    </w:p>
    <w:p w14:paraId="40B28F45" w14:textId="77777777" w:rsidR="00C4021D" w:rsidRPr="00C4021D" w:rsidRDefault="00C4021D" w:rsidP="00C4021D">
      <w:pPr>
        <w:spacing w:after="120" w:line="276" w:lineRule="auto"/>
        <w:jc w:val="both"/>
      </w:pPr>
      <w:r w:rsidRPr="00C4021D">
        <w:t>Rokovi, način povrata sredstava i odgovornost jedinice lokalne samouprave pobliže se utvrđuju godišnjim Javnim pozivom i ugovorom o dodjeli sredstava.</w:t>
      </w:r>
    </w:p>
    <w:p w14:paraId="1D0840B1" w14:textId="77777777" w:rsidR="00E37626" w:rsidRDefault="002E4202">
      <w:pPr>
        <w:pStyle w:val="Naslov1"/>
      </w:pPr>
      <w:r>
        <w:t>XI. ZAVRŠNE ODREDBE</w:t>
      </w:r>
    </w:p>
    <w:p w14:paraId="4B0BF27B" w14:textId="62D32E0D" w:rsidR="00E37626" w:rsidRDefault="002E4202" w:rsidP="00684BF1">
      <w:pPr>
        <w:spacing w:after="120" w:line="276" w:lineRule="auto"/>
        <w:jc w:val="both"/>
      </w:pPr>
      <w:r>
        <w:t>Za mjere navedene u ovom Programu zaprimljeno je pozitivno mišljenje Ministarstva poljoprivrede</w:t>
      </w:r>
      <w:r w:rsidR="00F318BB">
        <w:t>, šumarstva i ribarstva</w:t>
      </w:r>
      <w:r>
        <w:t xml:space="preserve"> o usklađenosti prijedloga potpora male vrijednosti – Program </w:t>
      </w:r>
      <w:r w:rsidR="00684BF1">
        <w:t xml:space="preserve">dodjele sredstava jedinicama lokalne samouprave za provedbu potpora za podizanje nasada višnje maraške </w:t>
      </w:r>
      <w:r>
        <w:t>na području Zadarske županije za razdoblje 2026. - 2028. godine. (KLASA: ____________, URBROJ: ___________ od _______ 202</w:t>
      </w:r>
      <w:r w:rsidR="00F318BB">
        <w:t>6</w:t>
      </w:r>
      <w:r>
        <w:t>. godine).</w:t>
      </w:r>
    </w:p>
    <w:p w14:paraId="0F7B1501" w14:textId="77777777" w:rsidR="00E37626" w:rsidRDefault="002E4202">
      <w:pPr>
        <w:spacing w:before="480" w:after="80"/>
        <w:jc w:val="right"/>
      </w:pPr>
      <w:r>
        <w:rPr>
          <w:b/>
          <w:bCs/>
        </w:rPr>
        <w:t>UPRAVNI ODJEL ZA POLJOPRIVREDU,</w:t>
      </w:r>
    </w:p>
    <w:p w14:paraId="7FE18207" w14:textId="040E82F7" w:rsidR="00E37626" w:rsidRDefault="002E4202">
      <w:pPr>
        <w:spacing w:after="80"/>
        <w:jc w:val="right"/>
      </w:pPr>
      <w:r>
        <w:rPr>
          <w:b/>
          <w:bCs/>
        </w:rPr>
        <w:t xml:space="preserve">RIBARSTVO I </w:t>
      </w:r>
      <w:r w:rsidR="003C05AB">
        <w:rPr>
          <w:b/>
          <w:bCs/>
        </w:rPr>
        <w:t>VODNO GOSPODARSTVO</w:t>
      </w:r>
    </w:p>
    <w:p w14:paraId="4376C1CC" w14:textId="02136437" w:rsidR="00E37626" w:rsidRDefault="002E4202" w:rsidP="009A1C4D">
      <w:pPr>
        <w:spacing w:after="80"/>
        <w:jc w:val="right"/>
      </w:pPr>
      <w:r>
        <w:rPr>
          <w:sz w:val="20"/>
          <w:szCs w:val="20"/>
        </w:rPr>
        <w:t>ZADARSKA ŽUPANIJA</w:t>
      </w:r>
    </w:p>
    <w:sectPr w:rsidR="00E37626">
      <w:headerReference w:type="default" r:id="rId8"/>
      <w:pgSz w:w="11906" w:h="16838"/>
      <w:pgMar w:top="1418" w:right="1134" w:bottom="1418"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2C6B" w14:textId="77777777" w:rsidR="00025BD4" w:rsidRDefault="00025BD4">
      <w:r>
        <w:separator/>
      </w:r>
    </w:p>
  </w:endnote>
  <w:endnote w:type="continuationSeparator" w:id="0">
    <w:p w14:paraId="1BDBD06A" w14:textId="77777777" w:rsidR="00025BD4" w:rsidRDefault="0002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68E8" w14:textId="77777777" w:rsidR="00025BD4" w:rsidRDefault="00025BD4">
      <w:r>
        <w:separator/>
      </w:r>
    </w:p>
  </w:footnote>
  <w:footnote w:type="continuationSeparator" w:id="0">
    <w:p w14:paraId="25A985DB" w14:textId="77777777" w:rsidR="00025BD4" w:rsidRDefault="00025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06FF7" w14:textId="527EDEDD" w:rsidR="00E37626" w:rsidRDefault="002E4202">
    <w:pPr>
      <w:pBdr>
        <w:bottom w:val="single" w:sz="4" w:space="6" w:color="2B5DA6"/>
      </w:pBdr>
      <w:spacing w:after="120"/>
    </w:pPr>
    <w:r>
      <w:rPr>
        <w:b/>
        <w:bCs/>
        <w:color w:val="1A3A6B"/>
        <w:sz w:val="18"/>
        <w:szCs w:val="18"/>
      </w:rPr>
      <w:t>ZADARSKA ŽUPANIJA</w:t>
    </w:r>
    <w:r>
      <w:rPr>
        <w:color w:val="666666"/>
        <w:sz w:val="18"/>
        <w:szCs w:val="18"/>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228C"/>
    <w:multiLevelType w:val="multilevel"/>
    <w:tmpl w:val="337A1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0D39F8"/>
    <w:multiLevelType w:val="hybridMultilevel"/>
    <w:tmpl w:val="5A26DC8E"/>
    <w:lvl w:ilvl="0" w:tplc="D9CE6692">
      <w:start w:val="1"/>
      <w:numFmt w:val="decimal"/>
      <w:lvlText w:val="%1."/>
      <w:lvlJc w:val="left"/>
      <w:pPr>
        <w:ind w:left="720" w:hanging="360"/>
      </w:pPr>
    </w:lvl>
    <w:lvl w:ilvl="1" w:tplc="58FE9616">
      <w:numFmt w:val="decimal"/>
      <w:lvlText w:val=""/>
      <w:lvlJc w:val="left"/>
    </w:lvl>
    <w:lvl w:ilvl="2" w:tplc="5CD485FA">
      <w:numFmt w:val="decimal"/>
      <w:lvlText w:val=""/>
      <w:lvlJc w:val="left"/>
    </w:lvl>
    <w:lvl w:ilvl="3" w:tplc="52A265B2">
      <w:numFmt w:val="decimal"/>
      <w:lvlText w:val=""/>
      <w:lvlJc w:val="left"/>
    </w:lvl>
    <w:lvl w:ilvl="4" w:tplc="B6987484">
      <w:numFmt w:val="decimal"/>
      <w:lvlText w:val=""/>
      <w:lvlJc w:val="left"/>
    </w:lvl>
    <w:lvl w:ilvl="5" w:tplc="8B166F4C">
      <w:numFmt w:val="decimal"/>
      <w:lvlText w:val=""/>
      <w:lvlJc w:val="left"/>
    </w:lvl>
    <w:lvl w:ilvl="6" w:tplc="2E20FAF4">
      <w:numFmt w:val="decimal"/>
      <w:lvlText w:val=""/>
      <w:lvlJc w:val="left"/>
    </w:lvl>
    <w:lvl w:ilvl="7" w:tplc="EC7C1A00">
      <w:numFmt w:val="decimal"/>
      <w:lvlText w:val=""/>
      <w:lvlJc w:val="left"/>
    </w:lvl>
    <w:lvl w:ilvl="8" w:tplc="EA8479A8">
      <w:numFmt w:val="decimal"/>
      <w:lvlText w:val=""/>
      <w:lvlJc w:val="left"/>
    </w:lvl>
  </w:abstractNum>
  <w:abstractNum w:abstractNumId="2" w15:restartNumberingAfterBreak="0">
    <w:nsid w:val="27BA4E85"/>
    <w:multiLevelType w:val="hybridMultilevel"/>
    <w:tmpl w:val="4A2A7D24"/>
    <w:lvl w:ilvl="0" w:tplc="4EDA8F66">
      <w:start w:val="1"/>
      <w:numFmt w:val="bullet"/>
      <w:lvlText w:val="●"/>
      <w:lvlJc w:val="left"/>
      <w:pPr>
        <w:ind w:left="720" w:hanging="360"/>
      </w:pPr>
    </w:lvl>
    <w:lvl w:ilvl="1" w:tplc="CDA6EFB6">
      <w:start w:val="1"/>
      <w:numFmt w:val="bullet"/>
      <w:lvlText w:val="○"/>
      <w:lvlJc w:val="left"/>
      <w:pPr>
        <w:ind w:left="1440" w:hanging="360"/>
      </w:pPr>
    </w:lvl>
    <w:lvl w:ilvl="2" w:tplc="D0E2E58A">
      <w:start w:val="1"/>
      <w:numFmt w:val="bullet"/>
      <w:lvlText w:val="■"/>
      <w:lvlJc w:val="left"/>
      <w:pPr>
        <w:ind w:left="2160" w:hanging="360"/>
      </w:pPr>
    </w:lvl>
    <w:lvl w:ilvl="3" w:tplc="5C267BB4">
      <w:start w:val="1"/>
      <w:numFmt w:val="bullet"/>
      <w:lvlText w:val="●"/>
      <w:lvlJc w:val="left"/>
      <w:pPr>
        <w:ind w:left="2880" w:hanging="360"/>
      </w:pPr>
    </w:lvl>
    <w:lvl w:ilvl="4" w:tplc="039A657C">
      <w:start w:val="1"/>
      <w:numFmt w:val="bullet"/>
      <w:lvlText w:val="○"/>
      <w:lvlJc w:val="left"/>
      <w:pPr>
        <w:ind w:left="3600" w:hanging="360"/>
      </w:pPr>
    </w:lvl>
    <w:lvl w:ilvl="5" w:tplc="D526BB9E">
      <w:start w:val="1"/>
      <w:numFmt w:val="bullet"/>
      <w:lvlText w:val="■"/>
      <w:lvlJc w:val="left"/>
      <w:pPr>
        <w:ind w:left="4320" w:hanging="360"/>
      </w:pPr>
    </w:lvl>
    <w:lvl w:ilvl="6" w:tplc="426473E4">
      <w:start w:val="1"/>
      <w:numFmt w:val="bullet"/>
      <w:lvlText w:val="●"/>
      <w:lvlJc w:val="left"/>
      <w:pPr>
        <w:ind w:left="5040" w:hanging="360"/>
      </w:pPr>
    </w:lvl>
    <w:lvl w:ilvl="7" w:tplc="78826F60">
      <w:start w:val="1"/>
      <w:numFmt w:val="bullet"/>
      <w:lvlText w:val="●"/>
      <w:lvlJc w:val="left"/>
      <w:pPr>
        <w:ind w:left="5760" w:hanging="360"/>
      </w:pPr>
    </w:lvl>
    <w:lvl w:ilvl="8" w:tplc="52DE841E">
      <w:start w:val="1"/>
      <w:numFmt w:val="bullet"/>
      <w:lvlText w:val="●"/>
      <w:lvlJc w:val="left"/>
      <w:pPr>
        <w:ind w:left="6480" w:hanging="360"/>
      </w:pPr>
    </w:lvl>
  </w:abstractNum>
  <w:abstractNum w:abstractNumId="3" w15:restartNumberingAfterBreak="0">
    <w:nsid w:val="2EDE2AF1"/>
    <w:multiLevelType w:val="multilevel"/>
    <w:tmpl w:val="54B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745F5"/>
    <w:multiLevelType w:val="hybridMultilevel"/>
    <w:tmpl w:val="273C7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98A5B4D"/>
    <w:multiLevelType w:val="hybridMultilevel"/>
    <w:tmpl w:val="BAB2BE18"/>
    <w:lvl w:ilvl="0" w:tplc="1A8A8E0A">
      <w:start w:val="1"/>
      <w:numFmt w:val="bullet"/>
      <w:lvlText w:val="•"/>
      <w:lvlJc w:val="left"/>
      <w:pPr>
        <w:ind w:left="720" w:hanging="360"/>
      </w:pPr>
    </w:lvl>
    <w:lvl w:ilvl="1" w:tplc="77DCD912">
      <w:numFmt w:val="decimal"/>
      <w:lvlText w:val=""/>
      <w:lvlJc w:val="left"/>
    </w:lvl>
    <w:lvl w:ilvl="2" w:tplc="2AA2D6D2">
      <w:numFmt w:val="decimal"/>
      <w:lvlText w:val=""/>
      <w:lvlJc w:val="left"/>
    </w:lvl>
    <w:lvl w:ilvl="3" w:tplc="C9A2FCA8">
      <w:numFmt w:val="decimal"/>
      <w:lvlText w:val=""/>
      <w:lvlJc w:val="left"/>
    </w:lvl>
    <w:lvl w:ilvl="4" w:tplc="73642BB2">
      <w:numFmt w:val="decimal"/>
      <w:lvlText w:val=""/>
      <w:lvlJc w:val="left"/>
    </w:lvl>
    <w:lvl w:ilvl="5" w:tplc="93A23CB6">
      <w:numFmt w:val="decimal"/>
      <w:lvlText w:val=""/>
      <w:lvlJc w:val="left"/>
    </w:lvl>
    <w:lvl w:ilvl="6" w:tplc="8C7CE414">
      <w:numFmt w:val="decimal"/>
      <w:lvlText w:val=""/>
      <w:lvlJc w:val="left"/>
    </w:lvl>
    <w:lvl w:ilvl="7" w:tplc="98D4742E">
      <w:numFmt w:val="decimal"/>
      <w:lvlText w:val=""/>
      <w:lvlJc w:val="left"/>
    </w:lvl>
    <w:lvl w:ilvl="8" w:tplc="7DEE9E40">
      <w:numFmt w:val="decimal"/>
      <w:lvlText w:val=""/>
      <w:lvlJc w:val="left"/>
    </w:lvl>
  </w:abstractNum>
  <w:abstractNum w:abstractNumId="6" w15:restartNumberingAfterBreak="0">
    <w:nsid w:val="65A70014"/>
    <w:multiLevelType w:val="multilevel"/>
    <w:tmpl w:val="4A38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91707">
    <w:abstractNumId w:val="2"/>
    <w:lvlOverride w:ilvl="0">
      <w:startOverride w:val="1"/>
    </w:lvlOverride>
  </w:num>
  <w:num w:numId="2" w16cid:durableId="1268344855">
    <w:abstractNumId w:val="5"/>
    <w:lvlOverride w:ilvl="0">
      <w:startOverride w:val="1"/>
    </w:lvlOverride>
  </w:num>
  <w:num w:numId="3" w16cid:durableId="2042589116">
    <w:abstractNumId w:val="0"/>
  </w:num>
  <w:num w:numId="4" w16cid:durableId="1637179676">
    <w:abstractNumId w:val="4"/>
  </w:num>
  <w:num w:numId="5" w16cid:durableId="202521757">
    <w:abstractNumId w:val="6"/>
  </w:num>
  <w:num w:numId="6" w16cid:durableId="2709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626"/>
    <w:rsid w:val="000111B0"/>
    <w:rsid w:val="000210BD"/>
    <w:rsid w:val="000215B5"/>
    <w:rsid w:val="00025BD4"/>
    <w:rsid w:val="000536E2"/>
    <w:rsid w:val="0007754F"/>
    <w:rsid w:val="00083CC3"/>
    <w:rsid w:val="00097131"/>
    <w:rsid w:val="000B4C32"/>
    <w:rsid w:val="000D0926"/>
    <w:rsid w:val="000E7879"/>
    <w:rsid w:val="0012302A"/>
    <w:rsid w:val="00131C38"/>
    <w:rsid w:val="00137465"/>
    <w:rsid w:val="0014699D"/>
    <w:rsid w:val="001514DD"/>
    <w:rsid w:val="001562A6"/>
    <w:rsid w:val="001611FE"/>
    <w:rsid w:val="00166E4C"/>
    <w:rsid w:val="00172C6E"/>
    <w:rsid w:val="0017395D"/>
    <w:rsid w:val="0017512B"/>
    <w:rsid w:val="00184D3E"/>
    <w:rsid w:val="0019441A"/>
    <w:rsid w:val="0019799C"/>
    <w:rsid w:val="001A4BC9"/>
    <w:rsid w:val="001B5251"/>
    <w:rsid w:val="001B6B16"/>
    <w:rsid w:val="001C47A5"/>
    <w:rsid w:val="001C678C"/>
    <w:rsid w:val="001D2279"/>
    <w:rsid w:val="001E082A"/>
    <w:rsid w:val="001E3FE5"/>
    <w:rsid w:val="002032C3"/>
    <w:rsid w:val="00204234"/>
    <w:rsid w:val="0020548E"/>
    <w:rsid w:val="002055E6"/>
    <w:rsid w:val="00205932"/>
    <w:rsid w:val="00220214"/>
    <w:rsid w:val="00227BB2"/>
    <w:rsid w:val="00242A98"/>
    <w:rsid w:val="00247D3F"/>
    <w:rsid w:val="00250BF4"/>
    <w:rsid w:val="00255D00"/>
    <w:rsid w:val="002667AA"/>
    <w:rsid w:val="0027023F"/>
    <w:rsid w:val="0027519D"/>
    <w:rsid w:val="00290366"/>
    <w:rsid w:val="00290766"/>
    <w:rsid w:val="0029485D"/>
    <w:rsid w:val="00294F29"/>
    <w:rsid w:val="002A3762"/>
    <w:rsid w:val="002A4F2F"/>
    <w:rsid w:val="002C1896"/>
    <w:rsid w:val="002E4202"/>
    <w:rsid w:val="002F6DF4"/>
    <w:rsid w:val="00301104"/>
    <w:rsid w:val="0033143C"/>
    <w:rsid w:val="0033794A"/>
    <w:rsid w:val="0034790D"/>
    <w:rsid w:val="00375D8A"/>
    <w:rsid w:val="0038422F"/>
    <w:rsid w:val="003913B6"/>
    <w:rsid w:val="003B2660"/>
    <w:rsid w:val="003C05AB"/>
    <w:rsid w:val="003D450F"/>
    <w:rsid w:val="003E3D91"/>
    <w:rsid w:val="003F4A88"/>
    <w:rsid w:val="00410A0C"/>
    <w:rsid w:val="00420BB0"/>
    <w:rsid w:val="00441861"/>
    <w:rsid w:val="00451EA6"/>
    <w:rsid w:val="00452B68"/>
    <w:rsid w:val="00463B01"/>
    <w:rsid w:val="00464D72"/>
    <w:rsid w:val="00482C01"/>
    <w:rsid w:val="00492667"/>
    <w:rsid w:val="00494ABF"/>
    <w:rsid w:val="00497F47"/>
    <w:rsid w:val="004A6E36"/>
    <w:rsid w:val="004D1379"/>
    <w:rsid w:val="004D201F"/>
    <w:rsid w:val="004D645C"/>
    <w:rsid w:val="004F1D09"/>
    <w:rsid w:val="0050452D"/>
    <w:rsid w:val="005162E1"/>
    <w:rsid w:val="005265DA"/>
    <w:rsid w:val="00536FC6"/>
    <w:rsid w:val="005473C1"/>
    <w:rsid w:val="00562778"/>
    <w:rsid w:val="00592385"/>
    <w:rsid w:val="00594D8B"/>
    <w:rsid w:val="005956D2"/>
    <w:rsid w:val="005958B5"/>
    <w:rsid w:val="00595DA3"/>
    <w:rsid w:val="005B0311"/>
    <w:rsid w:val="005C0FCB"/>
    <w:rsid w:val="005E22E7"/>
    <w:rsid w:val="006254AE"/>
    <w:rsid w:val="00630033"/>
    <w:rsid w:val="006421C2"/>
    <w:rsid w:val="00662CFF"/>
    <w:rsid w:val="006702B4"/>
    <w:rsid w:val="00684BF1"/>
    <w:rsid w:val="00696079"/>
    <w:rsid w:val="006A5978"/>
    <w:rsid w:val="006B2DD3"/>
    <w:rsid w:val="006B7297"/>
    <w:rsid w:val="006C0828"/>
    <w:rsid w:val="006F4F9E"/>
    <w:rsid w:val="007124F9"/>
    <w:rsid w:val="00716D09"/>
    <w:rsid w:val="00725C22"/>
    <w:rsid w:val="00737C3F"/>
    <w:rsid w:val="00743D35"/>
    <w:rsid w:val="007558A6"/>
    <w:rsid w:val="0077412C"/>
    <w:rsid w:val="0078001E"/>
    <w:rsid w:val="007806C6"/>
    <w:rsid w:val="00796521"/>
    <w:rsid w:val="007A28FD"/>
    <w:rsid w:val="007A4568"/>
    <w:rsid w:val="007C5CE9"/>
    <w:rsid w:val="007C6350"/>
    <w:rsid w:val="007D6C5B"/>
    <w:rsid w:val="008245B5"/>
    <w:rsid w:val="00827E3F"/>
    <w:rsid w:val="00851294"/>
    <w:rsid w:val="00851310"/>
    <w:rsid w:val="008617CC"/>
    <w:rsid w:val="00867F23"/>
    <w:rsid w:val="008721B9"/>
    <w:rsid w:val="008875B1"/>
    <w:rsid w:val="008A315B"/>
    <w:rsid w:val="008A3A34"/>
    <w:rsid w:val="008A579F"/>
    <w:rsid w:val="008A597D"/>
    <w:rsid w:val="008B0027"/>
    <w:rsid w:val="008C473F"/>
    <w:rsid w:val="008D54DC"/>
    <w:rsid w:val="008D5BC9"/>
    <w:rsid w:val="008E1BB5"/>
    <w:rsid w:val="008E6755"/>
    <w:rsid w:val="008F1F09"/>
    <w:rsid w:val="008F24A5"/>
    <w:rsid w:val="008F5326"/>
    <w:rsid w:val="009008A3"/>
    <w:rsid w:val="00935901"/>
    <w:rsid w:val="009506A7"/>
    <w:rsid w:val="00950FA0"/>
    <w:rsid w:val="00951FE6"/>
    <w:rsid w:val="009544DA"/>
    <w:rsid w:val="00972E26"/>
    <w:rsid w:val="00980E2C"/>
    <w:rsid w:val="00983098"/>
    <w:rsid w:val="009863C9"/>
    <w:rsid w:val="00993A1A"/>
    <w:rsid w:val="009A1C4D"/>
    <w:rsid w:val="009B022A"/>
    <w:rsid w:val="009B177E"/>
    <w:rsid w:val="009B6A55"/>
    <w:rsid w:val="009C7C4E"/>
    <w:rsid w:val="009D25A1"/>
    <w:rsid w:val="009D7953"/>
    <w:rsid w:val="009E650E"/>
    <w:rsid w:val="009F65E9"/>
    <w:rsid w:val="00A056B3"/>
    <w:rsid w:val="00A063AE"/>
    <w:rsid w:val="00A25ED7"/>
    <w:rsid w:val="00A5176F"/>
    <w:rsid w:val="00A71727"/>
    <w:rsid w:val="00A73D55"/>
    <w:rsid w:val="00A80198"/>
    <w:rsid w:val="00A8597B"/>
    <w:rsid w:val="00A86B39"/>
    <w:rsid w:val="00A86C49"/>
    <w:rsid w:val="00AA4C90"/>
    <w:rsid w:val="00AA5D20"/>
    <w:rsid w:val="00AA6B03"/>
    <w:rsid w:val="00AB36A8"/>
    <w:rsid w:val="00AD484B"/>
    <w:rsid w:val="00AD6FDA"/>
    <w:rsid w:val="00AE053D"/>
    <w:rsid w:val="00AE1DB2"/>
    <w:rsid w:val="00AF294E"/>
    <w:rsid w:val="00B00A05"/>
    <w:rsid w:val="00B011BC"/>
    <w:rsid w:val="00B06010"/>
    <w:rsid w:val="00B20135"/>
    <w:rsid w:val="00B226C8"/>
    <w:rsid w:val="00B34346"/>
    <w:rsid w:val="00B560E0"/>
    <w:rsid w:val="00B821E3"/>
    <w:rsid w:val="00B869FD"/>
    <w:rsid w:val="00B93C8A"/>
    <w:rsid w:val="00B94731"/>
    <w:rsid w:val="00BC66E3"/>
    <w:rsid w:val="00BE03E1"/>
    <w:rsid w:val="00BE389F"/>
    <w:rsid w:val="00BE57B0"/>
    <w:rsid w:val="00BF0804"/>
    <w:rsid w:val="00C03E94"/>
    <w:rsid w:val="00C25584"/>
    <w:rsid w:val="00C4021D"/>
    <w:rsid w:val="00C42D8D"/>
    <w:rsid w:val="00C452AF"/>
    <w:rsid w:val="00C66B8A"/>
    <w:rsid w:val="00C75CF1"/>
    <w:rsid w:val="00CB67D5"/>
    <w:rsid w:val="00CC44D6"/>
    <w:rsid w:val="00CF06A7"/>
    <w:rsid w:val="00CF34A5"/>
    <w:rsid w:val="00D11D64"/>
    <w:rsid w:val="00D1440A"/>
    <w:rsid w:val="00D162FF"/>
    <w:rsid w:val="00D242C7"/>
    <w:rsid w:val="00D327E9"/>
    <w:rsid w:val="00D66613"/>
    <w:rsid w:val="00D74977"/>
    <w:rsid w:val="00D77365"/>
    <w:rsid w:val="00D94133"/>
    <w:rsid w:val="00DE17DA"/>
    <w:rsid w:val="00DE78DB"/>
    <w:rsid w:val="00DF1685"/>
    <w:rsid w:val="00DF29F0"/>
    <w:rsid w:val="00E004E4"/>
    <w:rsid w:val="00E00709"/>
    <w:rsid w:val="00E2699C"/>
    <w:rsid w:val="00E271A4"/>
    <w:rsid w:val="00E33B1F"/>
    <w:rsid w:val="00E36F1F"/>
    <w:rsid w:val="00E37626"/>
    <w:rsid w:val="00E406E7"/>
    <w:rsid w:val="00E50B5D"/>
    <w:rsid w:val="00E6103D"/>
    <w:rsid w:val="00E616CD"/>
    <w:rsid w:val="00E742BD"/>
    <w:rsid w:val="00E7545F"/>
    <w:rsid w:val="00E8382D"/>
    <w:rsid w:val="00E979BB"/>
    <w:rsid w:val="00EA7A69"/>
    <w:rsid w:val="00EB56C4"/>
    <w:rsid w:val="00EB627B"/>
    <w:rsid w:val="00ED2389"/>
    <w:rsid w:val="00EE0B09"/>
    <w:rsid w:val="00EF5F6B"/>
    <w:rsid w:val="00EF6FE3"/>
    <w:rsid w:val="00EF732D"/>
    <w:rsid w:val="00F0027B"/>
    <w:rsid w:val="00F318BB"/>
    <w:rsid w:val="00F336E9"/>
    <w:rsid w:val="00F41D1C"/>
    <w:rsid w:val="00F63C6B"/>
    <w:rsid w:val="00F63D5F"/>
    <w:rsid w:val="00F77FE9"/>
    <w:rsid w:val="00F85B82"/>
    <w:rsid w:val="00F86E63"/>
    <w:rsid w:val="00F97898"/>
    <w:rsid w:val="00FC1512"/>
    <w:rsid w:val="00FC5767"/>
    <w:rsid w:val="0205EB30"/>
    <w:rsid w:val="07E2331C"/>
    <w:rsid w:val="104166D6"/>
    <w:rsid w:val="13D0238F"/>
    <w:rsid w:val="193323AE"/>
    <w:rsid w:val="2578B745"/>
    <w:rsid w:val="29DB7AEE"/>
    <w:rsid w:val="2EBE4BEA"/>
    <w:rsid w:val="3E600462"/>
    <w:rsid w:val="3FEA52AB"/>
    <w:rsid w:val="44239900"/>
    <w:rsid w:val="5BBBE0EB"/>
    <w:rsid w:val="67EDC571"/>
    <w:rsid w:val="6B8240DA"/>
    <w:rsid w:val="6D863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9D6C"/>
  <w15:docId w15:val="{EB1320E5-3570-4BEE-83C1-CB3E27C3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uiPriority w:val="9"/>
    <w:qFormat/>
    <w:pPr>
      <w:spacing w:before="360" w:after="160"/>
      <w:outlineLvl w:val="0"/>
    </w:pPr>
    <w:rPr>
      <w:b/>
      <w:bCs/>
      <w:color w:val="1A3A6B"/>
      <w:sz w:val="28"/>
      <w:szCs w:val="28"/>
    </w:rPr>
  </w:style>
  <w:style w:type="paragraph" w:styleId="Naslov2">
    <w:name w:val="heading 2"/>
    <w:uiPriority w:val="9"/>
    <w:unhideWhenUsed/>
    <w:qFormat/>
    <w:pPr>
      <w:spacing w:before="240" w:after="120"/>
      <w:outlineLvl w:val="1"/>
    </w:pPr>
    <w:rPr>
      <w:b/>
      <w:bCs/>
      <w:color w:val="2B5DA6"/>
      <w:sz w:val="24"/>
      <w:szCs w:val="24"/>
    </w:rPr>
  </w:style>
  <w:style w:type="paragraph" w:styleId="Naslov3">
    <w:name w:val="heading 3"/>
    <w:uiPriority w:val="9"/>
    <w:semiHidden/>
    <w:unhideWhenUsed/>
    <w:qFormat/>
    <w:pPr>
      <w:spacing w:before="180" w:after="80"/>
      <w:outlineLvl w:val="2"/>
    </w:pPr>
    <w:rPr>
      <w:b/>
      <w:bCs/>
      <w:color w:val="3A6EBF"/>
    </w:rPr>
  </w:style>
  <w:style w:type="paragraph" w:styleId="Naslov4">
    <w:name w:val="heading 4"/>
    <w:uiPriority w:val="9"/>
    <w:semiHidden/>
    <w:unhideWhenUsed/>
    <w:qFormat/>
    <w:pPr>
      <w:outlineLvl w:val="3"/>
    </w:pPr>
    <w:rPr>
      <w:i/>
      <w:iCs/>
      <w:color w:val="2E74B5"/>
    </w:rPr>
  </w:style>
  <w:style w:type="paragraph" w:styleId="Naslov5">
    <w:name w:val="heading 5"/>
    <w:uiPriority w:val="9"/>
    <w:semiHidden/>
    <w:unhideWhenUsed/>
    <w:qFormat/>
    <w:pPr>
      <w:outlineLvl w:val="4"/>
    </w:pPr>
    <w:rPr>
      <w:color w:val="2E74B5"/>
    </w:rPr>
  </w:style>
  <w:style w:type="paragraph" w:styleId="Naslov6">
    <w:name w:val="heading 6"/>
    <w:uiPriority w:val="9"/>
    <w:semiHidden/>
    <w:unhideWhenUsed/>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uiPriority w:val="10"/>
    <w:qFormat/>
    <w:rPr>
      <w:sz w:val="56"/>
      <w:szCs w:val="56"/>
    </w:rPr>
  </w:style>
  <w:style w:type="paragraph" w:customStyle="1" w:styleId="Naglaeno1">
    <w:name w:val="Naglašeno1"/>
    <w:qFormat/>
    <w:rPr>
      <w:b/>
      <w:bCs/>
    </w:rPr>
  </w:style>
  <w:style w:type="paragraph" w:styleId="Odlomakpopisa">
    <w:name w:val="List Paragraph"/>
    <w:uiPriority w:val="34"/>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AA4C9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4C90"/>
    <w:rPr>
      <w:rFonts w:ascii="Segoe UI" w:hAnsi="Segoe UI" w:cs="Segoe UI"/>
      <w:sz w:val="18"/>
      <w:szCs w:val="18"/>
    </w:rPr>
  </w:style>
  <w:style w:type="paragraph" w:styleId="Zaglavlje">
    <w:name w:val="header"/>
    <w:basedOn w:val="Normal"/>
    <w:link w:val="ZaglavljeChar"/>
    <w:uiPriority w:val="99"/>
    <w:unhideWhenUsed/>
    <w:rsid w:val="001A4BC9"/>
    <w:pPr>
      <w:tabs>
        <w:tab w:val="center" w:pos="4680"/>
        <w:tab w:val="right" w:pos="9360"/>
      </w:tabs>
    </w:pPr>
  </w:style>
  <w:style w:type="character" w:customStyle="1" w:styleId="ZaglavljeChar">
    <w:name w:val="Zaglavlje Char"/>
    <w:basedOn w:val="Zadanifontodlomka"/>
    <w:link w:val="Zaglavlje"/>
    <w:uiPriority w:val="99"/>
    <w:rsid w:val="001A4BC9"/>
  </w:style>
  <w:style w:type="paragraph" w:styleId="Podnoje">
    <w:name w:val="footer"/>
    <w:basedOn w:val="Normal"/>
    <w:link w:val="PodnojeChar"/>
    <w:uiPriority w:val="99"/>
    <w:unhideWhenUsed/>
    <w:rsid w:val="001A4BC9"/>
    <w:pPr>
      <w:tabs>
        <w:tab w:val="center" w:pos="4680"/>
        <w:tab w:val="right" w:pos="9360"/>
      </w:tabs>
    </w:pPr>
  </w:style>
  <w:style w:type="character" w:customStyle="1" w:styleId="PodnojeChar">
    <w:name w:val="Podnožje Char"/>
    <w:basedOn w:val="Zadanifontodlomka"/>
    <w:link w:val="Podnoje"/>
    <w:uiPriority w:val="99"/>
    <w:rsid w:val="001A4BC9"/>
  </w:style>
  <w:style w:type="paragraph" w:styleId="Predmetkomentara">
    <w:name w:val="annotation subject"/>
    <w:basedOn w:val="Tekstkomentara"/>
    <w:next w:val="Tekstkomentara"/>
    <w:link w:val="PredmetkomentaraChar"/>
    <w:uiPriority w:val="99"/>
    <w:semiHidden/>
    <w:unhideWhenUsed/>
    <w:rsid w:val="006B2DD3"/>
    <w:rPr>
      <w:b/>
      <w:bCs/>
    </w:rPr>
  </w:style>
  <w:style w:type="character" w:customStyle="1" w:styleId="PredmetkomentaraChar">
    <w:name w:val="Predmet komentara Char"/>
    <w:basedOn w:val="TekstkomentaraChar"/>
    <w:link w:val="Predmetkomentara"/>
    <w:uiPriority w:val="99"/>
    <w:semiHidden/>
    <w:rsid w:val="006B2DD3"/>
    <w:rPr>
      <w:b/>
      <w:bCs/>
      <w:sz w:val="20"/>
      <w:szCs w:val="20"/>
    </w:rPr>
  </w:style>
  <w:style w:type="paragraph" w:styleId="Revizija">
    <w:name w:val="Revision"/>
    <w:hidden/>
    <w:uiPriority w:val="99"/>
    <w:semiHidden/>
    <w:rsid w:val="008721B9"/>
  </w:style>
  <w:style w:type="character" w:styleId="Nerijeenospominjanje">
    <w:name w:val="Unresolved Mention"/>
    <w:basedOn w:val="Zadanifontodlomka"/>
    <w:uiPriority w:val="99"/>
    <w:semiHidden/>
    <w:unhideWhenUsed/>
    <w:rsid w:val="00375D8A"/>
    <w:rPr>
      <w:color w:val="605E5C"/>
      <w:shd w:val="clear" w:color="auto" w:fill="E1DFDD"/>
    </w:rPr>
  </w:style>
  <w:style w:type="character" w:styleId="SlijeenaHiperveza">
    <w:name w:val="FollowedHyperlink"/>
    <w:basedOn w:val="Zadanifontodlomka"/>
    <w:uiPriority w:val="99"/>
    <w:semiHidden/>
    <w:unhideWhenUsed/>
    <w:rsid w:val="00375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8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259D-FA45-4F0E-96A2-C3E079020638}">
  <ds:schemaRefs>
    <ds:schemaRef ds:uri="http://schemas.openxmlformats.org/officeDocument/2006/bibliography"/>
  </ds:schemaRefs>
</ds:datastoreItem>
</file>

<file path=docMetadata/LabelInfo.xml><?xml version="1.0" encoding="utf-8"?>
<clbl:labelList xmlns:clbl="http://schemas.microsoft.com/office/2020/mipLabelMetadata">
  <clbl:label id="{212620d3-723e-4c98-b93c-3d62573aaef9}" enabled="0" method="" siteId="{212620d3-723e-4c98-b93c-3d62573aaef9}" removed="1"/>
</clbl:labelList>
</file>

<file path=docProps/app.xml><?xml version="1.0" encoding="utf-8"?>
<Properties xmlns="http://schemas.openxmlformats.org/officeDocument/2006/extended-properties" xmlns:vt="http://schemas.openxmlformats.org/officeDocument/2006/docPropsVTypes">
  <Template>Normal</Template>
  <TotalTime>678</TotalTime>
  <Pages>7</Pages>
  <Words>1904</Words>
  <Characters>10859</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Gabrijela Kuštera</cp:lastModifiedBy>
  <cp:revision>190</cp:revision>
  <cp:lastPrinted>2026-07-13T11:27:00Z</cp:lastPrinted>
  <dcterms:created xsi:type="dcterms:W3CDTF">2026-04-29T07:12:00Z</dcterms:created>
  <dcterms:modified xsi:type="dcterms:W3CDTF">2026-07-13T11:47:00Z</dcterms:modified>
</cp:coreProperties>
</file>